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7316" w14:textId="77777777" w:rsidR="008C03BC" w:rsidRDefault="00000000">
      <w:pPr>
        <w:pStyle w:val="Body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Pension &amp; Retirement Committee Briefing Notes </w:t>
      </w:r>
    </w:p>
    <w:p w14:paraId="2FCDC86B" w14:textId="77777777" w:rsidR="008C03BC" w:rsidRDefault="00000000">
      <w:pPr>
        <w:pStyle w:val="Body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Oct. 9, 2024</w:t>
      </w:r>
    </w:p>
    <w:p w14:paraId="048E77E8" w14:textId="77777777" w:rsidR="008C03BC" w:rsidRDefault="008C03BC">
      <w:pPr>
        <w:shd w:val="clear" w:color="auto" w:fill="FFFFFF"/>
        <w:spacing w:after="0" w:line="240" w:lineRule="auto"/>
        <w:ind w:left="-360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</w:p>
    <w:p w14:paraId="689ABA3F" w14:textId="77777777" w:rsidR="008C03BC" w:rsidRDefault="00000000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Review of notes from previous meeting:</w:t>
      </w:r>
    </w:p>
    <w:p w14:paraId="12E80138" w14:textId="77777777" w:rsidR="008C03BC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Full cost of living lacking in many provinces.</w:t>
      </w:r>
    </w:p>
    <w:p w14:paraId="69837E42" w14:textId="77777777" w:rsidR="008C03BC" w:rsidRDefault="00000000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Continue tracking the data for each provincial pension</w:t>
      </w:r>
    </w:p>
    <w:p w14:paraId="748F9DAA" w14:textId="77777777" w:rsidR="008C03BC" w:rsidRDefault="00000000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Provide Members with data showing the loss of purchasing power with the cost-of-living provisions in their province</w:t>
      </w:r>
    </w:p>
    <w:p w14:paraId="44A06DFB" w14:textId="77777777" w:rsidR="008C03BC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Alberta CPP replacement</w:t>
      </w:r>
    </w:p>
    <w:p w14:paraId="59A80D53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1134" w:right="-138" w:hanging="425"/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 xml:space="preserve">Seems to have dropped out of active consideration in Alberta for now. Helpful article: </w:t>
      </w:r>
      <w:hyperlink r:id="rId7" w:history="1">
        <w:r>
          <w:rPr>
            <w:rStyle w:val="Hyperlink"/>
            <w:rFonts w:ascii="Verdana" w:eastAsia="Times New Roman" w:hAnsi="Verdana" w:cs="Calibri"/>
            <w:kern w:val="0"/>
            <w:sz w:val="24"/>
            <w:szCs w:val="24"/>
            <w:lang w:eastAsia="en-CA"/>
          </w:rPr>
          <w:t>https://financialpost.com/fp-finance/alberta-cpp-gambit-risks-undermining-canadian-achievement</w:t>
        </w:r>
      </w:hyperlink>
    </w:p>
    <w:p w14:paraId="1F140C82" w14:textId="77777777" w:rsidR="008C03BC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National Dental Plan</w:t>
      </w:r>
    </w:p>
    <w:p w14:paraId="5F30AB85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1134" w:hanging="425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The plan seems to be rolling out and some people are benefitting.</w:t>
      </w:r>
    </w:p>
    <w:p w14:paraId="6930F46A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1134" w:hanging="425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Unfairness of the plan is still a concern.  Two people with equal need and financial resources do not have the same eligibility based on arbitrary rules.</w:t>
      </w:r>
    </w:p>
    <w:p w14:paraId="161D8451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1134" w:hanging="425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 xml:space="preserve">The committee would urge Members to write the federal government encouraging them to make the plan </w:t>
      </w:r>
      <w:proofErr w:type="gramStart"/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more fair</w:t>
      </w:r>
      <w:proofErr w:type="gramEnd"/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.</w:t>
      </w:r>
    </w:p>
    <w:p w14:paraId="0569C9EE" w14:textId="77777777" w:rsidR="008C03BC" w:rsidRDefault="008C03BC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</w:p>
    <w:p w14:paraId="46747345" w14:textId="77777777" w:rsidR="008C03BC" w:rsidRDefault="00000000">
      <w:pPr>
        <w:shd w:val="clear" w:color="auto" w:fill="FFFFFF"/>
        <w:spacing w:after="0" w:line="240" w:lineRule="auto"/>
      </w:pPr>
      <w:r>
        <w:rPr>
          <w:rFonts w:ascii="Verdana" w:eastAsia="Times New Roman" w:hAnsi="Verdana" w:cs="Calibri"/>
          <w:b/>
          <w:bCs/>
          <w:color w:val="222222"/>
          <w:kern w:val="0"/>
          <w:sz w:val="24"/>
          <w:szCs w:val="24"/>
          <w:lang w:eastAsia="en-CA"/>
        </w:rPr>
        <w:t>AGM Resolution Referral from STS</w:t>
      </w: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 xml:space="preserve">: </w:t>
      </w:r>
      <w:r>
        <w:rPr>
          <w:rFonts w:ascii="Verdana" w:eastAsia="Times New Roman" w:hAnsi="Verdana" w:cs="Arial"/>
          <w:color w:val="0E0E00"/>
          <w:kern w:val="0"/>
          <w:sz w:val="24"/>
          <w:szCs w:val="24"/>
          <w:lang w:eastAsia="en-CA"/>
        </w:rPr>
        <w:t>Saskatchewan is not currently lobbying on these issues as they are in the middle of an election campaign, and these are not priority issues</w:t>
      </w:r>
      <w:r>
        <w:rPr>
          <w:rFonts w:ascii="Verdana" w:eastAsia="Times New Roman" w:hAnsi="Verdana" w:cs="Arial"/>
          <w:b/>
          <w:bCs/>
          <w:color w:val="0E0E00"/>
          <w:kern w:val="0"/>
          <w:sz w:val="24"/>
          <w:szCs w:val="24"/>
          <w:lang w:eastAsia="en-CA"/>
        </w:rPr>
        <w:t>.</w:t>
      </w:r>
    </w:p>
    <w:p w14:paraId="7C7706AA" w14:textId="77777777" w:rsidR="008C03BC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288"/>
      </w:pPr>
      <w:r>
        <w:rPr>
          <w:rFonts w:ascii="Verdana" w:eastAsia="Times New Roman" w:hAnsi="Verdana" w:cs="Arial"/>
          <w:b/>
          <w:bCs/>
          <w:color w:val="101000"/>
          <w:kern w:val="0"/>
          <w:sz w:val="24"/>
          <w:szCs w:val="24"/>
          <w:lang w:eastAsia="en-CA"/>
        </w:rPr>
        <w:t>BE </w:t>
      </w:r>
      <w:r>
        <w:rPr>
          <w:rFonts w:ascii="Verdana" w:eastAsia="Times New Roman" w:hAnsi="Verdana" w:cs="Arial"/>
          <w:b/>
          <w:bCs/>
          <w:color w:val="111100"/>
          <w:kern w:val="0"/>
          <w:sz w:val="24"/>
          <w:szCs w:val="24"/>
          <w:lang w:eastAsia="en-CA"/>
        </w:rPr>
        <w:t>IT </w:t>
      </w:r>
      <w:r>
        <w:rPr>
          <w:rFonts w:ascii="Verdana" w:eastAsia="Times New Roman" w:hAnsi="Verdana" w:cs="Arial"/>
          <w:b/>
          <w:bCs/>
          <w:color w:val="0C0C00"/>
          <w:kern w:val="0"/>
          <w:sz w:val="24"/>
          <w:szCs w:val="24"/>
          <w:lang w:eastAsia="en-CA"/>
        </w:rPr>
        <w:t>RESOLVED </w:t>
      </w:r>
      <w:r>
        <w:rPr>
          <w:rFonts w:ascii="Verdana" w:eastAsia="Times New Roman" w:hAnsi="Verdana" w:cs="Arial"/>
          <w:color w:val="060600"/>
          <w:kern w:val="0"/>
          <w:sz w:val="24"/>
          <w:szCs w:val="24"/>
          <w:lang w:eastAsia="en-CA"/>
        </w:rPr>
        <w:t>that </w:t>
      </w:r>
      <w:r>
        <w:rPr>
          <w:rFonts w:ascii="Verdana" w:eastAsia="Times New Roman" w:hAnsi="Verdana" w:cs="Arial"/>
          <w:color w:val="050500"/>
          <w:kern w:val="0"/>
          <w:sz w:val="24"/>
          <w:szCs w:val="24"/>
          <w:lang w:eastAsia="en-CA"/>
        </w:rPr>
        <w:t>the STS Executive </w:t>
      </w:r>
      <w:r>
        <w:rPr>
          <w:rFonts w:ascii="Verdana" w:eastAsia="Times New Roman" w:hAnsi="Verdana" w:cs="Arial"/>
          <w:color w:val="060600"/>
          <w:kern w:val="0"/>
          <w:sz w:val="24"/>
          <w:szCs w:val="24"/>
          <w:lang w:eastAsia="en-CA"/>
        </w:rPr>
        <w:t xml:space="preserve">work with ACER-CART and </w:t>
      </w:r>
      <w:r>
        <w:rPr>
          <w:rFonts w:ascii="Verdana" w:eastAsia="Times New Roman" w:hAnsi="Verdana" w:cs="Arial"/>
          <w:color w:val="080800"/>
          <w:kern w:val="0"/>
          <w:sz w:val="24"/>
          <w:szCs w:val="24"/>
          <w:lang w:eastAsia="en-CA"/>
        </w:rPr>
        <w:t>SSM </w:t>
      </w:r>
      <w:r>
        <w:rPr>
          <w:rFonts w:ascii="Verdana" w:eastAsia="Times New Roman" w:hAnsi="Verdana" w:cs="Arial"/>
          <w:color w:val="060600"/>
          <w:kern w:val="0"/>
          <w:sz w:val="24"/>
          <w:szCs w:val="24"/>
          <w:lang w:eastAsia="en-CA"/>
        </w:rPr>
        <w:t>to </w:t>
      </w:r>
      <w:r>
        <w:rPr>
          <w:rFonts w:ascii="Verdana" w:eastAsia="Times New Roman" w:hAnsi="Verdana" w:cs="Arial"/>
          <w:color w:val="070700"/>
          <w:kern w:val="0"/>
          <w:sz w:val="24"/>
          <w:szCs w:val="24"/>
          <w:lang w:eastAsia="en-CA"/>
        </w:rPr>
        <w:t>advocate </w:t>
      </w:r>
      <w:r>
        <w:rPr>
          <w:rFonts w:ascii="Verdana" w:eastAsia="Times New Roman" w:hAnsi="Verdana" w:cs="Arial"/>
          <w:color w:val="090900"/>
          <w:kern w:val="0"/>
          <w:sz w:val="24"/>
          <w:szCs w:val="24"/>
          <w:lang w:eastAsia="en-CA"/>
        </w:rPr>
        <w:t>for </w:t>
      </w:r>
      <w:r>
        <w:rPr>
          <w:rFonts w:ascii="Verdana" w:eastAsia="Times New Roman" w:hAnsi="Verdana" w:cs="Arial"/>
          <w:color w:val="0B0B00"/>
          <w:kern w:val="0"/>
          <w:sz w:val="24"/>
          <w:szCs w:val="24"/>
          <w:lang w:eastAsia="en-CA"/>
        </w:rPr>
        <w:t>the </w:t>
      </w:r>
      <w:r>
        <w:rPr>
          <w:rFonts w:ascii="Verdana" w:eastAsia="Times New Roman" w:hAnsi="Verdana" w:cs="Arial"/>
          <w:color w:val="080800"/>
          <w:kern w:val="0"/>
          <w:sz w:val="24"/>
          <w:szCs w:val="24"/>
          <w:lang w:eastAsia="en-CA"/>
        </w:rPr>
        <w:t>government </w:t>
      </w:r>
      <w:r>
        <w:rPr>
          <w:rFonts w:ascii="Verdana" w:eastAsia="Times New Roman" w:hAnsi="Verdana" w:cs="Arial"/>
          <w:color w:val="0D0D00"/>
          <w:kern w:val="0"/>
          <w:sz w:val="24"/>
          <w:szCs w:val="24"/>
          <w:lang w:eastAsia="en-CA"/>
        </w:rPr>
        <w:t>to </w:t>
      </w:r>
      <w:r>
        <w:rPr>
          <w:rFonts w:ascii="Verdana" w:eastAsia="Times New Roman" w:hAnsi="Verdana" w:cs="Arial"/>
          <w:color w:val="090900"/>
          <w:kern w:val="0"/>
          <w:sz w:val="24"/>
          <w:szCs w:val="24"/>
          <w:lang w:eastAsia="en-CA"/>
        </w:rPr>
        <w:t>initiate </w:t>
      </w:r>
      <w:r>
        <w:rPr>
          <w:rFonts w:ascii="Verdana" w:eastAsia="Times New Roman" w:hAnsi="Verdana" w:cs="Arial"/>
          <w:color w:val="080800"/>
          <w:kern w:val="0"/>
          <w:sz w:val="24"/>
          <w:szCs w:val="24"/>
          <w:lang w:eastAsia="en-CA"/>
        </w:rPr>
        <w:t>a </w:t>
      </w:r>
      <w:r>
        <w:rPr>
          <w:rFonts w:ascii="Verdana" w:eastAsia="Times New Roman" w:hAnsi="Verdana" w:cs="Arial"/>
          <w:color w:val="070700"/>
          <w:kern w:val="0"/>
          <w:sz w:val="24"/>
          <w:szCs w:val="24"/>
          <w:lang w:eastAsia="en-CA"/>
        </w:rPr>
        <w:t>tax </w:t>
      </w:r>
      <w:r>
        <w:rPr>
          <w:rFonts w:ascii="Verdana" w:eastAsia="Times New Roman" w:hAnsi="Verdana" w:cs="Arial"/>
          <w:color w:val="090900"/>
          <w:kern w:val="0"/>
          <w:sz w:val="24"/>
          <w:szCs w:val="24"/>
          <w:lang w:eastAsia="en-CA"/>
        </w:rPr>
        <w:t>credit </w:t>
      </w:r>
      <w:r>
        <w:rPr>
          <w:rFonts w:ascii="Verdana" w:eastAsia="Times New Roman" w:hAnsi="Verdana" w:cs="Arial"/>
          <w:color w:val="080800"/>
          <w:kern w:val="0"/>
          <w:sz w:val="24"/>
          <w:szCs w:val="24"/>
          <w:lang w:eastAsia="en-CA"/>
        </w:rPr>
        <w:t xml:space="preserve">for seniors for their participation in activities to improve physical and mental health.  </w:t>
      </w:r>
    </w:p>
    <w:p w14:paraId="7D479779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  <w:t>The committee reviewed the tax-relief programs available for children:</w:t>
      </w:r>
    </w:p>
    <w:p w14:paraId="3E8AF691" w14:textId="77777777" w:rsidR="008C03BC" w:rsidRDefault="00000000">
      <w:pPr>
        <w:pStyle w:val="ListParagraph"/>
        <w:numPr>
          <w:ilvl w:val="3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  <w:t>$500 recreation tax credit for educational and recreational activities</w:t>
      </w:r>
    </w:p>
    <w:p w14:paraId="7421EB05" w14:textId="77777777" w:rsidR="008C03BC" w:rsidRDefault="00000000">
      <w:pPr>
        <w:pStyle w:val="ListParagraph"/>
        <w:numPr>
          <w:ilvl w:val="3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  <w:t>$500 tax credit for artistic, cultural and recreational development</w:t>
      </w:r>
    </w:p>
    <w:p w14:paraId="5442108F" w14:textId="77777777" w:rsidR="008C03BC" w:rsidRDefault="0000000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  <w:t>The purpose of these tax credits is to encourage and support participation in activities that provide for the physical and mental health of children as that is a benefit to all Canadian society.</w:t>
      </w:r>
    </w:p>
    <w:p w14:paraId="05820D9A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  <w:t>The Committee supported a similar tax credit being available for senior citizens to encourage good physical and mental health which is a benefit to all Canadian society and would provide a saving in other health-related costs.</w:t>
      </w:r>
    </w:p>
    <w:p w14:paraId="695083A4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  <w:t>While this isn’t a priority for ACER-CART this year, we will promote this possibility to our Member Association who we encourage to lobby governments.</w:t>
      </w:r>
    </w:p>
    <w:p w14:paraId="50D71B58" w14:textId="77777777" w:rsidR="008C03BC" w:rsidRDefault="008C03BC">
      <w:pPr>
        <w:pStyle w:val="ListParagraph"/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</w:p>
    <w:p w14:paraId="6740E6F8" w14:textId="77777777" w:rsidR="008C03BC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Verdana" w:eastAsia="Times New Roman" w:hAnsi="Verdana" w:cs="Arial"/>
          <w:b/>
          <w:bCs/>
          <w:color w:val="0F0F00"/>
          <w:kern w:val="0"/>
          <w:sz w:val="24"/>
          <w:szCs w:val="24"/>
          <w:lang w:eastAsia="en-CA"/>
        </w:rPr>
        <w:lastRenderedPageBreak/>
        <w:t>BE </w:t>
      </w:r>
      <w:r>
        <w:rPr>
          <w:rFonts w:ascii="Verdana" w:eastAsia="Times New Roman" w:hAnsi="Verdana" w:cs="Arial"/>
          <w:b/>
          <w:bCs/>
          <w:color w:val="0C0C00"/>
          <w:kern w:val="0"/>
          <w:sz w:val="24"/>
          <w:szCs w:val="24"/>
          <w:lang w:eastAsia="en-CA"/>
        </w:rPr>
        <w:t>IT </w:t>
      </w:r>
      <w:r>
        <w:rPr>
          <w:rFonts w:ascii="Verdana" w:eastAsia="Times New Roman" w:hAnsi="Verdana" w:cs="Arial"/>
          <w:b/>
          <w:bCs/>
          <w:color w:val="0D0D00"/>
          <w:kern w:val="0"/>
          <w:sz w:val="24"/>
          <w:szCs w:val="24"/>
          <w:lang w:eastAsia="en-CA"/>
        </w:rPr>
        <w:t>RESOLVED </w:t>
      </w:r>
      <w:r>
        <w:rPr>
          <w:rFonts w:ascii="Verdana" w:eastAsia="Times New Roman" w:hAnsi="Verdana" w:cs="Arial"/>
          <w:color w:val="050500"/>
          <w:kern w:val="0"/>
          <w:sz w:val="24"/>
          <w:szCs w:val="24"/>
          <w:lang w:eastAsia="en-CA"/>
        </w:rPr>
        <w:t>that </w:t>
      </w:r>
      <w:r>
        <w:rPr>
          <w:rFonts w:ascii="Verdana" w:eastAsia="Times New Roman" w:hAnsi="Verdana" w:cs="Arial"/>
          <w:color w:val="070700"/>
          <w:kern w:val="0"/>
          <w:sz w:val="24"/>
          <w:szCs w:val="24"/>
          <w:lang w:eastAsia="en-CA"/>
        </w:rPr>
        <w:t>the STS lobby </w:t>
      </w:r>
      <w:r>
        <w:rPr>
          <w:rFonts w:ascii="Verdana" w:eastAsia="Times New Roman" w:hAnsi="Verdana" w:cs="Arial"/>
          <w:color w:val="050500"/>
          <w:kern w:val="0"/>
          <w:sz w:val="24"/>
          <w:szCs w:val="24"/>
          <w:lang w:eastAsia="en-CA"/>
        </w:rPr>
        <w:t>the </w:t>
      </w:r>
      <w:r>
        <w:rPr>
          <w:rFonts w:ascii="Verdana" w:eastAsia="Times New Roman" w:hAnsi="Verdana" w:cs="Arial"/>
          <w:color w:val="060600"/>
          <w:kern w:val="0"/>
          <w:sz w:val="24"/>
          <w:szCs w:val="24"/>
          <w:lang w:eastAsia="en-CA"/>
        </w:rPr>
        <w:t>Provincial and </w:t>
      </w:r>
      <w:r>
        <w:rPr>
          <w:rFonts w:ascii="Verdana" w:eastAsia="Times New Roman" w:hAnsi="Verdana" w:cs="Arial"/>
          <w:color w:val="070700"/>
          <w:kern w:val="0"/>
          <w:sz w:val="24"/>
          <w:szCs w:val="24"/>
          <w:lang w:eastAsia="en-CA"/>
        </w:rPr>
        <w:t>Federal governments </w:t>
      </w:r>
      <w:r>
        <w:rPr>
          <w:rFonts w:ascii="Verdana" w:eastAsia="Times New Roman" w:hAnsi="Verdana" w:cs="Arial"/>
          <w:color w:val="080800"/>
          <w:kern w:val="0"/>
          <w:sz w:val="24"/>
          <w:szCs w:val="24"/>
          <w:lang w:eastAsia="en-CA"/>
        </w:rPr>
        <w:t>to </w:t>
      </w:r>
      <w:r>
        <w:rPr>
          <w:rFonts w:ascii="Verdana" w:eastAsia="Times New Roman" w:hAnsi="Verdana" w:cs="Arial"/>
          <w:color w:val="070700"/>
          <w:kern w:val="0"/>
          <w:sz w:val="24"/>
          <w:szCs w:val="24"/>
          <w:lang w:eastAsia="en-CA"/>
        </w:rPr>
        <w:t xml:space="preserve">include Massage Therapy as a tax-deductible health expense for taxpayers. </w:t>
      </w:r>
    </w:p>
    <w:p w14:paraId="3FE9966E" w14:textId="77777777" w:rsidR="008C03BC" w:rsidRDefault="0000000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</w:pPr>
      <w:r>
        <w:rPr>
          <w:rFonts w:ascii="Verdana" w:eastAsia="Times New Roman" w:hAnsi="Verdana" w:cs="Arial"/>
          <w:color w:val="222222"/>
          <w:kern w:val="0"/>
          <w:sz w:val="24"/>
          <w:szCs w:val="24"/>
          <w:lang w:eastAsia="en-CA"/>
        </w:rPr>
        <w:t xml:space="preserve">There is significant discrepancy in what is a tax-deductible medical expense between the provinces.  Referring to the following CRA webpage may encourage other Members to question why some services are tax-deductible in some provinces and not tax-deductible in others.  </w:t>
      </w:r>
      <w:r>
        <w:rPr>
          <w:rFonts w:ascii="Verdana" w:eastAsia="Times New Roman" w:hAnsi="Verdana" w:cs="Arial"/>
          <w:i/>
          <w:iCs/>
          <w:color w:val="222222"/>
          <w:kern w:val="0"/>
          <w:sz w:val="24"/>
          <w:szCs w:val="24"/>
          <w:lang w:eastAsia="en-CA"/>
        </w:rPr>
        <w:t>Shouldn’t the list be consistent across Canada?</w:t>
      </w:r>
    </w:p>
    <w:p w14:paraId="7F3CC7BC" w14:textId="77777777" w:rsidR="008C03BC" w:rsidRDefault="0000000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>
        <w:rPr>
          <w:rFonts w:ascii="Verdana" w:eastAsia="Times New Roman" w:hAnsi="Verdana" w:cs="Arial"/>
          <w:color w:val="222222"/>
          <w:kern w:val="0"/>
          <w:sz w:val="24"/>
          <w:szCs w:val="24"/>
          <w:lang w:eastAsia="en-CA"/>
        </w:rPr>
        <w:t xml:space="preserve">See </w:t>
      </w:r>
      <w:hyperlink r:id="rId8" w:history="1">
        <w:r>
          <w:rPr>
            <w:rStyle w:val="Hyperlink"/>
            <w:rFonts w:ascii="Verdana" w:eastAsia="Times New Roman" w:hAnsi="Verdana" w:cs="Arial"/>
            <w:kern w:val="0"/>
            <w:sz w:val="24"/>
            <w:szCs w:val="24"/>
            <w:lang w:eastAsia="en-CA"/>
          </w:rPr>
          <w:t>https://www.canada.ca/en/revenue-agency/services/tax/individuals/topics/about-your-tax-return/tax-return/completing-a-tax-return/deductions-credits-expenses/lines-33099-33199-eligible-medical-expenses-you-claim-on-your-tax-return/authorized-medical-practitioners-purposes-medical-expense-tax-credit.html</w:t>
        </w:r>
      </w:hyperlink>
    </w:p>
    <w:p w14:paraId="59C765F7" w14:textId="77777777" w:rsidR="008C03BC" w:rsidRDefault="0000000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Arial"/>
          <w:color w:val="222222"/>
          <w:kern w:val="0"/>
          <w:sz w:val="24"/>
          <w:szCs w:val="24"/>
          <w:lang w:eastAsia="en-CA"/>
        </w:rPr>
        <w:t>The following provinces allow tax deduction claims for registered massage therapy:  BC, NB, NL, ON, PEI.  There rest of the provinces do not recognize these expenses.</w:t>
      </w:r>
    </w:p>
    <w:p w14:paraId="519F9982" w14:textId="77777777" w:rsidR="008C03BC" w:rsidRDefault="0000000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Arial"/>
          <w:color w:val="222222"/>
          <w:kern w:val="0"/>
          <w:sz w:val="24"/>
          <w:szCs w:val="24"/>
          <w:lang w:eastAsia="en-CA"/>
        </w:rPr>
        <w:t xml:space="preserve">As these benefits are allowed federally by Revenue Canada, making the necessary change appears to be a provincial determination.  If it is a priority to a Member Association, we would encourage a letter-writing campaign and we remind you that ACER-CART has a licence to use New Mode which we happily lend to Members to facilitate that campaign. </w:t>
      </w:r>
    </w:p>
    <w:p w14:paraId="72D0F5D4" w14:textId="77777777" w:rsidR="008C03BC" w:rsidRDefault="008C03BC">
      <w:pPr>
        <w:pStyle w:val="ListParagraph"/>
        <w:shd w:val="clear" w:color="auto" w:fill="FFFFFF"/>
        <w:spacing w:after="0" w:line="240" w:lineRule="auto"/>
        <w:ind w:left="3240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</w:rPr>
      </w:pPr>
    </w:p>
    <w:p w14:paraId="5573AB8B" w14:textId="77777777" w:rsidR="008C03BC" w:rsidRDefault="00000000">
      <w:pPr>
        <w:shd w:val="clear" w:color="auto" w:fill="FFFFFF"/>
        <w:spacing w:after="0" w:line="240" w:lineRule="auto"/>
        <w:ind w:left="-360"/>
        <w:rPr>
          <w:rFonts w:ascii="Verdana" w:eastAsia="Times New Roman" w:hAnsi="Verdana" w:cs="Calibri"/>
          <w:b/>
          <w:bCs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b/>
          <w:bCs/>
          <w:color w:val="222222"/>
          <w:kern w:val="0"/>
          <w:sz w:val="24"/>
          <w:szCs w:val="24"/>
          <w:lang w:eastAsia="en-CA"/>
        </w:rPr>
        <w:t xml:space="preserve">How can we support ACER-CART Priorities? </w:t>
      </w:r>
    </w:p>
    <w:p w14:paraId="5188D221" w14:textId="77777777" w:rsidR="008C03BC" w:rsidRDefault="00000000">
      <w:pPr>
        <w:shd w:val="clear" w:color="auto" w:fill="FFFFFF"/>
        <w:spacing w:after="0" w:line="240" w:lineRule="auto"/>
        <w:ind w:left="-360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The Pension Committee’s mandate is to support Strategy 2: Working to help all seniors achieve financial stability to enable them to age in the right place.  Achieving full cost-of-living increases is part of the solution.</w:t>
      </w:r>
    </w:p>
    <w:p w14:paraId="08F225A4" w14:textId="77777777" w:rsidR="008C03BC" w:rsidRDefault="008C03BC">
      <w:pPr>
        <w:shd w:val="clear" w:color="auto" w:fill="FFFFFF"/>
        <w:spacing w:after="0" w:line="240" w:lineRule="auto"/>
        <w:ind w:left="-360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</w:p>
    <w:p w14:paraId="4C9ABC66" w14:textId="77777777" w:rsidR="008C03BC" w:rsidRDefault="00000000">
      <w:pPr>
        <w:shd w:val="clear" w:color="auto" w:fill="FFFFFF"/>
        <w:spacing w:after="0" w:line="240" w:lineRule="auto"/>
        <w:ind w:left="-360"/>
        <w:rPr>
          <w:rFonts w:ascii="Verdana" w:eastAsia="Times New Roman" w:hAnsi="Verdana" w:cs="Calibri"/>
          <w:b/>
          <w:bCs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b/>
          <w:bCs/>
          <w:color w:val="222222"/>
          <w:kern w:val="0"/>
          <w:sz w:val="24"/>
          <w:szCs w:val="24"/>
          <w:lang w:eastAsia="en-CA"/>
        </w:rPr>
        <w:t>Committee goals for this coming year</w:t>
      </w:r>
    </w:p>
    <w:p w14:paraId="673A7B41" w14:textId="77777777" w:rsidR="008C03BC" w:rsidRDefault="0000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Achieving full cost-of-living increases for retired member of all pension plans</w:t>
      </w:r>
    </w:p>
    <w:p w14:paraId="49976386" w14:textId="77777777" w:rsidR="008C03BC" w:rsidRDefault="0000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Continue to monitor the roll-out of the national dental plan with a view to making the criteria fair.</w:t>
      </w:r>
    </w:p>
    <w:p w14:paraId="4FD1EFA2" w14:textId="77777777" w:rsidR="008C03BC" w:rsidRDefault="0000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Raise the issue of tax credit for appropriate seniors with Members.</w:t>
      </w:r>
    </w:p>
    <w:p w14:paraId="43E2FF88" w14:textId="77777777" w:rsidR="008C03BC" w:rsidRDefault="0000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Provide information, support to Saskatchewan in their quest for tax coverage for registered massage therapy.</w:t>
      </w:r>
    </w:p>
    <w:p w14:paraId="7671CA89" w14:textId="77777777" w:rsidR="008C03BC" w:rsidRDefault="0000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  <w:r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  <w:t>Focus on economic stability for retired seniors so they can age appropriately at home or in their community.</w:t>
      </w:r>
    </w:p>
    <w:p w14:paraId="0673EA93" w14:textId="77777777" w:rsidR="008C03BC" w:rsidRDefault="008C03BC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kern w:val="0"/>
          <w:sz w:val="24"/>
          <w:szCs w:val="24"/>
          <w:lang w:eastAsia="en-CA"/>
        </w:rPr>
      </w:pPr>
    </w:p>
    <w:p w14:paraId="27FAC62C" w14:textId="77777777" w:rsidR="008C03BC" w:rsidRDefault="008C03BC">
      <w:pPr>
        <w:shd w:val="clear" w:color="auto" w:fill="FFFFFF"/>
        <w:spacing w:after="0" w:line="240" w:lineRule="auto"/>
        <w:rPr>
          <w:rFonts w:eastAsia="Times New Roman" w:cs="Calibri"/>
          <w:color w:val="222222"/>
          <w:kern w:val="0"/>
          <w:sz w:val="24"/>
          <w:szCs w:val="24"/>
          <w:lang w:eastAsia="en-CA"/>
        </w:rPr>
      </w:pPr>
    </w:p>
    <w:p w14:paraId="5A91455F" w14:textId="77777777" w:rsidR="008C03BC" w:rsidRDefault="008C03BC">
      <w:pPr>
        <w:shd w:val="clear" w:color="auto" w:fill="FFFFFF"/>
        <w:spacing w:after="0" w:line="240" w:lineRule="auto"/>
        <w:rPr>
          <w:rFonts w:eastAsia="Times New Roman" w:cs="Calibri"/>
          <w:color w:val="222222"/>
          <w:kern w:val="0"/>
          <w:sz w:val="24"/>
          <w:szCs w:val="24"/>
          <w:lang w:eastAsia="en-CA"/>
        </w:rPr>
      </w:pPr>
    </w:p>
    <w:sectPr w:rsidR="008C03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EA23" w14:textId="77777777" w:rsidR="00DA5F60" w:rsidRDefault="00DA5F60">
      <w:pPr>
        <w:spacing w:after="0" w:line="240" w:lineRule="auto"/>
      </w:pPr>
      <w:r>
        <w:separator/>
      </w:r>
    </w:p>
  </w:endnote>
  <w:endnote w:type="continuationSeparator" w:id="0">
    <w:p w14:paraId="076ED1BA" w14:textId="77777777" w:rsidR="00DA5F60" w:rsidRDefault="00DA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9058" w14:textId="77777777" w:rsidR="00DA5F60" w:rsidRDefault="00DA5F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D4DE2A" w14:textId="77777777" w:rsidR="00DA5F60" w:rsidRDefault="00DA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5B89"/>
    <w:multiLevelType w:val="multilevel"/>
    <w:tmpl w:val="D312F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720" w:hanging="360"/>
      </w:pPr>
      <w:rPr>
        <w:rFonts w:ascii="Arial" w:eastAsia="Times New Roman" w:hAnsi="Arial" w:cs="Arial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1" w15:restartNumberingAfterBreak="0">
    <w:nsid w:val="45271FE8"/>
    <w:multiLevelType w:val="multilevel"/>
    <w:tmpl w:val="80721B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720" w:hanging="360"/>
      </w:pPr>
      <w:rPr>
        <w:rFonts w:ascii="Arial" w:eastAsia="Times New Roman" w:hAnsi="Arial" w:cs="Arial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2" w15:restartNumberingAfterBreak="0">
    <w:nsid w:val="674D368F"/>
    <w:multiLevelType w:val="multilevel"/>
    <w:tmpl w:val="94B0D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720" w:hanging="360"/>
      </w:pPr>
      <w:rPr>
        <w:rFonts w:ascii="Arial" w:eastAsia="Times New Roman" w:hAnsi="Arial" w:cs="Arial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3" w15:restartNumberingAfterBreak="0">
    <w:nsid w:val="71A06551"/>
    <w:multiLevelType w:val="multilevel"/>
    <w:tmpl w:val="22BE46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7AFA2CD0"/>
    <w:multiLevelType w:val="multilevel"/>
    <w:tmpl w:val="EC4815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720" w:hanging="360"/>
      </w:pPr>
      <w:rPr>
        <w:rFonts w:ascii="Arial" w:eastAsia="Times New Roman" w:hAnsi="Arial" w:cs="Arial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num w:numId="1" w16cid:durableId="472063897">
    <w:abstractNumId w:val="2"/>
  </w:num>
  <w:num w:numId="2" w16cid:durableId="1259024955">
    <w:abstractNumId w:val="4"/>
  </w:num>
  <w:num w:numId="3" w16cid:durableId="931864623">
    <w:abstractNumId w:val="3"/>
  </w:num>
  <w:num w:numId="4" w16cid:durableId="838157925">
    <w:abstractNumId w:val="1"/>
  </w:num>
  <w:num w:numId="5" w16cid:durableId="38980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3BC"/>
    <w:rsid w:val="008C03BC"/>
    <w:rsid w:val="00D9773E"/>
    <w:rsid w:val="00DA5F60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CA1E"/>
  <w15:docId w15:val="{FD377ECC-DF93-4745-B8B4-689EC55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CA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gi">
    <w:name w:val="gi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Body">
    <w:name w:val="Body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tax/individuals/topics/about-your-tax-return/tax-return/completing-a-tax-return/deductions-credits-expenses/lines-33099-33199-eligible-medical-expenses-you-claim-on-your-tax-return/authorized-medical-practitioners-purposes-medical-expense-tax-cred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ialpost.com/fp-finance/alberta-cpp-gambit-risks-undermining-canadian-achiev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Tiede</dc:creator>
  <dc:description/>
  <cp:lastModifiedBy>Jonathan Schieman, CDMS</cp:lastModifiedBy>
  <cp:revision>2</cp:revision>
  <cp:lastPrinted>2024-10-08T22:45:00Z</cp:lastPrinted>
  <dcterms:created xsi:type="dcterms:W3CDTF">2024-10-17T20:40:00Z</dcterms:created>
  <dcterms:modified xsi:type="dcterms:W3CDTF">2024-10-17T20:40:00Z</dcterms:modified>
</cp:coreProperties>
</file>