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A2A5" w14:textId="4F5E262B" w:rsidR="00FD7CE7" w:rsidRPr="000571F9" w:rsidRDefault="00FD7CE7">
      <w:pPr>
        <w:rPr>
          <w:rFonts w:cstheme="minorHAnsi"/>
          <w:b/>
          <w:bCs/>
          <w:sz w:val="24"/>
          <w:szCs w:val="24"/>
        </w:rPr>
      </w:pPr>
    </w:p>
    <w:p w14:paraId="2A4810AF" w14:textId="0955D25E" w:rsidR="00021958" w:rsidRPr="00BE6B45" w:rsidRDefault="00997BCB">
      <w:pPr>
        <w:rPr>
          <w:rFonts w:cstheme="minorHAnsi"/>
          <w:b/>
          <w:bCs/>
          <w:sz w:val="24"/>
          <w:szCs w:val="24"/>
        </w:rPr>
      </w:pPr>
      <w:r>
        <w:rPr>
          <w:rFonts w:cstheme="minorHAnsi"/>
          <w:b/>
          <w:bCs/>
          <w:sz w:val="24"/>
          <w:szCs w:val="24"/>
        </w:rPr>
        <w:t>Appendix A</w:t>
      </w:r>
      <w:r w:rsidRPr="00997BCB">
        <w:rPr>
          <w:rFonts w:cstheme="minorHAnsi"/>
          <w:b/>
          <w:bCs/>
          <w:sz w:val="24"/>
          <w:szCs w:val="24"/>
        </w:rPr>
        <w:t xml:space="preserve"> </w:t>
      </w:r>
      <w:r>
        <w:rPr>
          <w:rFonts w:cstheme="minorHAnsi"/>
          <w:b/>
          <w:bCs/>
          <w:sz w:val="24"/>
          <w:szCs w:val="24"/>
        </w:rPr>
        <w:t xml:space="preserve">- </w:t>
      </w:r>
      <w:r w:rsidRPr="00997BCB">
        <w:rPr>
          <w:rFonts w:cstheme="minorHAnsi"/>
          <w:b/>
          <w:bCs/>
          <w:sz w:val="24"/>
          <w:szCs w:val="24"/>
        </w:rPr>
        <w:t xml:space="preserve">Survey of Cost-of-living </w:t>
      </w:r>
      <w:r>
        <w:rPr>
          <w:rFonts w:cstheme="minorHAnsi"/>
          <w:b/>
          <w:bCs/>
          <w:sz w:val="24"/>
          <w:szCs w:val="24"/>
        </w:rPr>
        <w:t xml:space="preserve">arrangements </w:t>
      </w:r>
      <w:r w:rsidR="00BE0193">
        <w:rPr>
          <w:rFonts w:cstheme="minorHAnsi"/>
          <w:b/>
          <w:bCs/>
          <w:sz w:val="24"/>
          <w:szCs w:val="24"/>
        </w:rPr>
        <w:t>– February 2023</w:t>
      </w:r>
      <w:r w:rsidR="00AA7BBF">
        <w:rPr>
          <w:rFonts w:cstheme="minorHAnsi"/>
          <w:b/>
          <w:bCs/>
          <w:sz w:val="24"/>
          <w:szCs w:val="24"/>
        </w:rPr>
        <w:t xml:space="preserve"> </w:t>
      </w:r>
    </w:p>
    <w:p w14:paraId="17355CD8" w14:textId="7F59B179" w:rsidR="00021958" w:rsidRPr="000571F9" w:rsidRDefault="00021958">
      <w:pPr>
        <w:rPr>
          <w:rFonts w:cstheme="minorHAnsi"/>
          <w:b/>
          <w:bCs/>
          <w:sz w:val="24"/>
          <w:szCs w:val="24"/>
        </w:rPr>
      </w:pPr>
      <w:r w:rsidRPr="000571F9">
        <w:rPr>
          <w:rFonts w:cstheme="minorHAnsi"/>
          <w:b/>
          <w:bCs/>
          <w:sz w:val="24"/>
          <w:szCs w:val="24"/>
        </w:rPr>
        <w:t>BC</w:t>
      </w:r>
    </w:p>
    <w:p w14:paraId="222704F4" w14:textId="7A6BA3F7" w:rsidR="00A108E4" w:rsidRPr="000571F9" w:rsidRDefault="00A108E4" w:rsidP="00A108E4">
      <w:pPr>
        <w:shd w:val="clear" w:color="auto" w:fill="FFFFFF"/>
        <w:spacing w:after="300" w:line="240" w:lineRule="auto"/>
        <w:rPr>
          <w:rFonts w:eastAsia="Times New Roman" w:cstheme="minorHAnsi"/>
          <w:color w:val="58595B"/>
          <w:sz w:val="24"/>
          <w:szCs w:val="24"/>
          <w:lang w:eastAsia="en-CA"/>
        </w:rPr>
      </w:pPr>
      <w:r w:rsidRPr="000571F9">
        <w:rPr>
          <w:rFonts w:eastAsia="Times New Roman" w:cstheme="minorHAnsi"/>
          <w:color w:val="58595B"/>
          <w:sz w:val="24"/>
          <w:szCs w:val="24"/>
          <w:lang w:eastAsia="en-CA"/>
        </w:rPr>
        <w:t xml:space="preserve">While COLAs are not guaranteed, the Teachers Pension Plan has </w:t>
      </w:r>
      <w:r w:rsidR="000571F9">
        <w:rPr>
          <w:rFonts w:eastAsia="Times New Roman" w:cstheme="minorHAnsi"/>
          <w:color w:val="58595B"/>
          <w:sz w:val="24"/>
          <w:szCs w:val="24"/>
          <w:lang w:eastAsia="en-CA"/>
        </w:rPr>
        <w:t xml:space="preserve">always </w:t>
      </w:r>
      <w:r w:rsidRPr="000571F9">
        <w:rPr>
          <w:rFonts w:eastAsia="Times New Roman" w:cstheme="minorHAnsi"/>
          <w:color w:val="58595B"/>
          <w:sz w:val="24"/>
          <w:szCs w:val="24"/>
          <w:lang w:eastAsia="en-CA"/>
        </w:rPr>
        <w:t>paid full cost-of-living adjustments. Increases are based on:</w:t>
      </w:r>
    </w:p>
    <w:p w14:paraId="4DF5D94F" w14:textId="6BC86446" w:rsidR="00A108E4" w:rsidRPr="000571F9" w:rsidRDefault="00A108E4" w:rsidP="00A108E4">
      <w:pPr>
        <w:numPr>
          <w:ilvl w:val="0"/>
          <w:numId w:val="3"/>
        </w:numPr>
        <w:shd w:val="clear" w:color="auto" w:fill="FFFFFF"/>
        <w:spacing w:before="100" w:beforeAutospacing="1" w:after="100" w:afterAutospacing="1" w:line="240" w:lineRule="auto"/>
        <w:rPr>
          <w:rFonts w:eastAsia="Times New Roman" w:cstheme="minorHAnsi"/>
          <w:color w:val="58595B"/>
          <w:sz w:val="24"/>
          <w:szCs w:val="24"/>
          <w:lang w:eastAsia="en-CA"/>
        </w:rPr>
      </w:pPr>
      <w:r w:rsidRPr="000571F9">
        <w:rPr>
          <w:rFonts w:eastAsia="Times New Roman" w:cstheme="minorHAnsi"/>
          <w:color w:val="58595B"/>
          <w:sz w:val="24"/>
          <w:szCs w:val="24"/>
          <w:lang w:eastAsia="en-CA"/>
        </w:rPr>
        <w:t>Changes in the Canadian consumer price index (CPI) over a 12-month period from September to September</w:t>
      </w:r>
      <w:r w:rsidR="00887416" w:rsidRPr="000571F9">
        <w:rPr>
          <w:rFonts w:eastAsia="Times New Roman" w:cstheme="minorHAnsi"/>
          <w:color w:val="58595B"/>
          <w:sz w:val="24"/>
          <w:szCs w:val="24"/>
          <w:lang w:eastAsia="en-CA"/>
        </w:rPr>
        <w:t>.  Increase awarded each January.</w:t>
      </w:r>
    </w:p>
    <w:p w14:paraId="337BFA24" w14:textId="2F074912" w:rsidR="00021958" w:rsidRPr="00BE0193" w:rsidRDefault="00A108E4" w:rsidP="00BE0193">
      <w:pPr>
        <w:numPr>
          <w:ilvl w:val="0"/>
          <w:numId w:val="3"/>
        </w:numPr>
        <w:shd w:val="clear" w:color="auto" w:fill="FFFFFF"/>
        <w:spacing w:before="100" w:beforeAutospacing="1" w:after="100" w:afterAutospacing="1" w:line="240" w:lineRule="auto"/>
        <w:rPr>
          <w:rFonts w:eastAsia="Times New Roman" w:cstheme="minorHAnsi"/>
          <w:color w:val="58595B"/>
          <w:sz w:val="24"/>
          <w:szCs w:val="24"/>
          <w:lang w:eastAsia="en-CA"/>
        </w:rPr>
      </w:pPr>
      <w:r w:rsidRPr="000571F9">
        <w:rPr>
          <w:rFonts w:eastAsia="Times New Roman" w:cstheme="minorHAnsi"/>
          <w:color w:val="58595B"/>
          <w:sz w:val="24"/>
          <w:szCs w:val="24"/>
          <w:lang w:eastAsia="en-CA"/>
        </w:rPr>
        <w:t>The funds available in the plan's inflation adjustment account</w:t>
      </w:r>
      <w:r w:rsidR="000571F9">
        <w:rPr>
          <w:rFonts w:eastAsia="Times New Roman" w:cstheme="minorHAnsi"/>
          <w:color w:val="58595B"/>
          <w:sz w:val="24"/>
          <w:szCs w:val="24"/>
          <w:lang w:eastAsia="en-CA"/>
        </w:rPr>
        <w:t xml:space="preserve"> (IAA).  The basic fund was in a surplus position at the last valuation and the IAA is well funde</w:t>
      </w:r>
      <w:r w:rsidR="00BE0193">
        <w:rPr>
          <w:rFonts w:eastAsia="Times New Roman" w:cstheme="minorHAnsi"/>
          <w:color w:val="58595B"/>
          <w:sz w:val="24"/>
          <w:szCs w:val="24"/>
          <w:lang w:eastAsia="en-CA"/>
        </w:rPr>
        <w:t>d.</w:t>
      </w:r>
    </w:p>
    <w:p w14:paraId="1DB79286" w14:textId="48763CF6" w:rsidR="00021958" w:rsidRPr="000571F9" w:rsidRDefault="00021958">
      <w:pPr>
        <w:rPr>
          <w:rFonts w:cstheme="minorHAnsi"/>
          <w:b/>
          <w:bCs/>
          <w:sz w:val="24"/>
          <w:szCs w:val="24"/>
        </w:rPr>
      </w:pPr>
      <w:r w:rsidRPr="000571F9">
        <w:rPr>
          <w:rFonts w:cstheme="minorHAnsi"/>
          <w:b/>
          <w:bCs/>
          <w:sz w:val="24"/>
          <w:szCs w:val="24"/>
        </w:rPr>
        <w:t>Alberta</w:t>
      </w:r>
    </w:p>
    <w:p w14:paraId="57C61159" w14:textId="77777777" w:rsidR="00021958" w:rsidRPr="000571F9" w:rsidRDefault="00021958" w:rsidP="00021958">
      <w:pPr>
        <w:rPr>
          <w:rFonts w:cstheme="minorHAnsi"/>
          <w:sz w:val="24"/>
          <w:szCs w:val="24"/>
          <w:lang w:val="en-US"/>
        </w:rPr>
      </w:pPr>
      <w:r w:rsidRPr="000571F9">
        <w:rPr>
          <w:rFonts w:cstheme="minorHAnsi"/>
          <w:sz w:val="24"/>
          <w:szCs w:val="24"/>
          <w:lang w:val="en-US"/>
        </w:rPr>
        <w:t xml:space="preserve">For pensionable service prior to 1993, 60% of the Alberta Consumer Price Index (ACPI). </w:t>
      </w:r>
    </w:p>
    <w:p w14:paraId="36598541" w14:textId="2B3E6639" w:rsidR="00021958" w:rsidRPr="000571F9" w:rsidRDefault="00021958">
      <w:pPr>
        <w:rPr>
          <w:rFonts w:cstheme="minorHAnsi"/>
          <w:sz w:val="24"/>
          <w:szCs w:val="24"/>
          <w:lang w:val="en-US"/>
        </w:rPr>
      </w:pPr>
      <w:r w:rsidRPr="000571F9">
        <w:rPr>
          <w:rFonts w:cstheme="minorHAnsi"/>
          <w:sz w:val="24"/>
          <w:szCs w:val="24"/>
          <w:lang w:val="en-US"/>
        </w:rPr>
        <w:t>For pensionable service after 1992 70% of ACPI.</w:t>
      </w:r>
    </w:p>
    <w:p w14:paraId="49E44B13" w14:textId="61727C72" w:rsidR="00021958" w:rsidRPr="000571F9" w:rsidRDefault="00021958">
      <w:pPr>
        <w:rPr>
          <w:rFonts w:cstheme="minorHAnsi"/>
          <w:b/>
          <w:bCs/>
          <w:sz w:val="24"/>
          <w:szCs w:val="24"/>
        </w:rPr>
      </w:pPr>
      <w:r w:rsidRPr="000571F9">
        <w:rPr>
          <w:rFonts w:cstheme="minorHAnsi"/>
          <w:b/>
          <w:bCs/>
          <w:sz w:val="24"/>
          <w:szCs w:val="24"/>
        </w:rPr>
        <w:t>Saskatchewan</w:t>
      </w:r>
    </w:p>
    <w:p w14:paraId="13D9A5FF" w14:textId="77777777" w:rsidR="000571F9" w:rsidRPr="000571F9" w:rsidRDefault="000571F9" w:rsidP="000571F9">
      <w:pPr>
        <w:rPr>
          <w:rFonts w:cstheme="minorHAnsi"/>
          <w:sz w:val="24"/>
          <w:szCs w:val="24"/>
        </w:rPr>
      </w:pPr>
      <w:r w:rsidRPr="000571F9">
        <w:rPr>
          <w:rFonts w:cstheme="minorHAnsi"/>
          <w:sz w:val="24"/>
          <w:szCs w:val="24"/>
        </w:rPr>
        <w:t>There are two different teacher pension plans for teachers in Saskatchewan, the Teachers Superannuation Plan (closed in 1980) and the Saskatchewan Teachers Retirement Plan (for any teachers beginning teaching after July 1, 1980).</w:t>
      </w:r>
    </w:p>
    <w:p w14:paraId="1FC1D532" w14:textId="77777777" w:rsidR="000571F9" w:rsidRPr="002B7B2E" w:rsidRDefault="000571F9" w:rsidP="002B7B2E">
      <w:pPr>
        <w:spacing w:line="240" w:lineRule="auto"/>
        <w:rPr>
          <w:rFonts w:eastAsia="Times New Roman" w:cstheme="minorHAnsi"/>
          <w:color w:val="58595B"/>
          <w:sz w:val="24"/>
          <w:szCs w:val="24"/>
          <w:lang w:eastAsia="en-CA"/>
        </w:rPr>
      </w:pPr>
      <w:r w:rsidRPr="002B7B2E">
        <w:rPr>
          <w:rFonts w:eastAsia="Times New Roman" w:cstheme="minorHAnsi"/>
          <w:color w:val="58595B"/>
          <w:sz w:val="24"/>
          <w:szCs w:val="24"/>
          <w:lang w:eastAsia="en-CA"/>
        </w:rPr>
        <w:t xml:space="preserve">Teachers Superannuation Plan:  Allowances are adjusted each January 1, by 80% of the percentage increase of the monthly averages of CPI increases in the last year ending October 31st.  No cap to these increases. </w:t>
      </w:r>
    </w:p>
    <w:p w14:paraId="6A1CA36C" w14:textId="77777777" w:rsidR="000571F9" w:rsidRPr="002B7B2E" w:rsidRDefault="000571F9" w:rsidP="002B7B2E">
      <w:pPr>
        <w:spacing w:line="240" w:lineRule="auto"/>
        <w:rPr>
          <w:rFonts w:eastAsia="Times New Roman" w:cstheme="minorHAnsi"/>
          <w:color w:val="58595B"/>
          <w:sz w:val="24"/>
          <w:szCs w:val="24"/>
          <w:lang w:eastAsia="en-CA"/>
        </w:rPr>
      </w:pPr>
      <w:r w:rsidRPr="002B7B2E">
        <w:rPr>
          <w:rFonts w:eastAsia="Times New Roman" w:cstheme="minorHAnsi"/>
          <w:color w:val="58595B"/>
          <w:sz w:val="24"/>
          <w:szCs w:val="24"/>
          <w:lang w:eastAsia="en-CA"/>
        </w:rPr>
        <w:t>Saskatchewan Teachers Retirement Plan: Benefit increases are divided into 2 portions depending on when the original service occurred:</w:t>
      </w:r>
    </w:p>
    <w:p w14:paraId="67B65247" w14:textId="77777777" w:rsidR="000571F9" w:rsidRPr="002B7B2E" w:rsidRDefault="000571F9" w:rsidP="002B7B2E">
      <w:pPr>
        <w:spacing w:line="240" w:lineRule="auto"/>
        <w:rPr>
          <w:rFonts w:eastAsia="Times New Roman" w:cstheme="minorHAnsi"/>
          <w:color w:val="58595B"/>
          <w:sz w:val="24"/>
          <w:szCs w:val="24"/>
          <w:lang w:eastAsia="en-CA"/>
        </w:rPr>
      </w:pPr>
      <w:r w:rsidRPr="002B7B2E">
        <w:rPr>
          <w:rFonts w:eastAsia="Times New Roman" w:cstheme="minorHAnsi"/>
          <w:color w:val="58595B"/>
          <w:sz w:val="24"/>
          <w:szCs w:val="24"/>
          <w:lang w:eastAsia="en-CA"/>
        </w:rPr>
        <w:t>Service Before 2015: Allowances are adjusted each January 1, by 80% of the percentage increase of the monthly averages of CPI increases in the last year ending October 31st capped at 3%.</w:t>
      </w:r>
    </w:p>
    <w:p w14:paraId="001D0C1E" w14:textId="587F6B26" w:rsidR="00021958" w:rsidRPr="002B7B2E" w:rsidRDefault="000571F9" w:rsidP="002B7B2E">
      <w:pPr>
        <w:spacing w:line="240" w:lineRule="auto"/>
        <w:rPr>
          <w:rFonts w:eastAsia="Times New Roman" w:cstheme="minorHAnsi"/>
          <w:color w:val="58595B"/>
          <w:sz w:val="24"/>
          <w:szCs w:val="24"/>
          <w:lang w:eastAsia="en-CA"/>
        </w:rPr>
      </w:pPr>
      <w:r w:rsidRPr="002B7B2E">
        <w:rPr>
          <w:rFonts w:eastAsia="Times New Roman" w:cstheme="minorHAnsi"/>
          <w:color w:val="58595B"/>
          <w:sz w:val="24"/>
          <w:szCs w:val="24"/>
          <w:lang w:eastAsia="en-CA"/>
        </w:rPr>
        <w:t>Service After 2015:  Allowances are adjusted on an ad hoc basis by the STF Pension and Benefits Board depending on the funding of the Plan.</w:t>
      </w:r>
    </w:p>
    <w:p w14:paraId="7876E14E" w14:textId="2347A53D" w:rsidR="00021958" w:rsidRPr="000571F9" w:rsidRDefault="00021958">
      <w:pPr>
        <w:rPr>
          <w:rFonts w:cstheme="minorHAnsi"/>
          <w:b/>
          <w:bCs/>
          <w:sz w:val="24"/>
          <w:szCs w:val="24"/>
        </w:rPr>
      </w:pPr>
      <w:r w:rsidRPr="000571F9">
        <w:rPr>
          <w:rFonts w:cstheme="minorHAnsi"/>
          <w:b/>
          <w:bCs/>
          <w:sz w:val="24"/>
          <w:szCs w:val="24"/>
        </w:rPr>
        <w:t>Manitoba</w:t>
      </w:r>
    </w:p>
    <w:p w14:paraId="5B33E738" w14:textId="77777777" w:rsidR="00AB1A23" w:rsidRPr="002B7B2E" w:rsidRDefault="00AB1A23" w:rsidP="00AB1A23">
      <w:pPr>
        <w:shd w:val="clear" w:color="auto" w:fill="FFFFFF"/>
        <w:spacing w:after="0" w:line="240" w:lineRule="auto"/>
        <w:rPr>
          <w:rFonts w:eastAsia="Times New Roman" w:cstheme="minorHAnsi"/>
          <w:color w:val="58595B"/>
          <w:sz w:val="24"/>
          <w:szCs w:val="24"/>
          <w:lang w:eastAsia="en-CA"/>
        </w:rPr>
      </w:pPr>
      <w:r w:rsidRPr="002B7B2E">
        <w:rPr>
          <w:rFonts w:eastAsia="Times New Roman" w:cstheme="minorHAnsi"/>
          <w:color w:val="58595B"/>
          <w:sz w:val="24"/>
          <w:szCs w:val="24"/>
          <w:lang w:eastAsia="en-CA"/>
        </w:rPr>
        <w:t xml:space="preserve">The independent plan actuary prepares an actuarial valuation as </w:t>
      </w:r>
      <w:proofErr w:type="gramStart"/>
      <w:r w:rsidRPr="002B7B2E">
        <w:rPr>
          <w:rFonts w:eastAsia="Times New Roman" w:cstheme="minorHAnsi"/>
          <w:color w:val="58595B"/>
          <w:sz w:val="24"/>
          <w:szCs w:val="24"/>
          <w:lang w:eastAsia="en-CA"/>
        </w:rPr>
        <w:t>at</w:t>
      </w:r>
      <w:proofErr w:type="gramEnd"/>
      <w:r w:rsidRPr="002B7B2E">
        <w:rPr>
          <w:rFonts w:eastAsia="Times New Roman" w:cstheme="minorHAnsi"/>
          <w:color w:val="58595B"/>
          <w:sz w:val="24"/>
          <w:szCs w:val="24"/>
          <w:lang w:eastAsia="en-CA"/>
        </w:rPr>
        <w:t xml:space="preserve"> December 31 of each year to determine the maximum COLA the PAA can support. The actuarial valuation compares the PAA assets to the liabilities for all prior COLA.  The COLA is the lesser of CPI and what the PAA can support.  It is never negative.</w:t>
      </w:r>
    </w:p>
    <w:p w14:paraId="0E9AE077" w14:textId="15942F98" w:rsidR="00021958" w:rsidRDefault="00021958">
      <w:pPr>
        <w:rPr>
          <w:rFonts w:cstheme="minorHAnsi"/>
          <w:sz w:val="24"/>
          <w:szCs w:val="24"/>
        </w:rPr>
      </w:pPr>
    </w:p>
    <w:p w14:paraId="70F29C61" w14:textId="77777777" w:rsidR="00BE6B45" w:rsidRPr="000571F9" w:rsidRDefault="00BE6B45">
      <w:pPr>
        <w:rPr>
          <w:rFonts w:cstheme="minorHAnsi"/>
          <w:sz w:val="24"/>
          <w:szCs w:val="24"/>
        </w:rPr>
      </w:pPr>
    </w:p>
    <w:p w14:paraId="6F90F515" w14:textId="144C6A74" w:rsidR="00021958" w:rsidRPr="00BE0193" w:rsidRDefault="00021958">
      <w:pPr>
        <w:rPr>
          <w:rFonts w:cstheme="minorHAnsi"/>
          <w:b/>
          <w:bCs/>
          <w:sz w:val="24"/>
          <w:szCs w:val="24"/>
        </w:rPr>
      </w:pPr>
      <w:r w:rsidRPr="00BE0193">
        <w:rPr>
          <w:rFonts w:cstheme="minorHAnsi"/>
          <w:b/>
          <w:bCs/>
          <w:sz w:val="24"/>
          <w:szCs w:val="24"/>
        </w:rPr>
        <w:lastRenderedPageBreak/>
        <w:t>Ontario</w:t>
      </w:r>
    </w:p>
    <w:p w14:paraId="108FEC61" w14:textId="77777777" w:rsidR="00887416" w:rsidRPr="00BE0193" w:rsidRDefault="00887416" w:rsidP="00887416">
      <w:pPr>
        <w:pStyle w:val="NormalWeb"/>
        <w:shd w:val="clear" w:color="auto" w:fill="F7F7F7"/>
        <w:spacing w:before="0" w:beforeAutospacing="0"/>
        <w:rPr>
          <w:rFonts w:asciiTheme="minorHAnsi" w:hAnsiTheme="minorHAnsi" w:cstheme="minorHAnsi"/>
          <w:b/>
          <w:bCs/>
          <w:color w:val="240B14"/>
        </w:rPr>
      </w:pPr>
      <w:r w:rsidRPr="00BE0193">
        <w:rPr>
          <w:rStyle w:val="Strong"/>
          <w:rFonts w:asciiTheme="minorHAnsi" w:hAnsiTheme="minorHAnsi" w:cstheme="minorHAnsi"/>
          <w:b w:val="0"/>
          <w:bCs w:val="0"/>
          <w:color w:val="240B14"/>
        </w:rPr>
        <w:t xml:space="preserve">Step 1: Calculate inflation </w:t>
      </w:r>
      <w:proofErr w:type="gramStart"/>
      <w:r w:rsidRPr="00BE0193">
        <w:rPr>
          <w:rStyle w:val="Strong"/>
          <w:rFonts w:asciiTheme="minorHAnsi" w:hAnsiTheme="minorHAnsi" w:cstheme="minorHAnsi"/>
          <w:b w:val="0"/>
          <w:bCs w:val="0"/>
          <w:color w:val="240B14"/>
        </w:rPr>
        <w:t>factor</w:t>
      </w:r>
      <w:proofErr w:type="gramEnd"/>
    </w:p>
    <w:p w14:paraId="7C6BF6EA" w14:textId="77777777" w:rsidR="00887416" w:rsidRPr="000571F9" w:rsidRDefault="00887416" w:rsidP="00887416">
      <w:pPr>
        <w:pStyle w:val="NormalWeb"/>
        <w:shd w:val="clear" w:color="auto" w:fill="F7F7F7"/>
        <w:spacing w:before="0" w:beforeAutospacing="0"/>
        <w:rPr>
          <w:rFonts w:asciiTheme="minorHAnsi" w:hAnsiTheme="minorHAnsi" w:cstheme="minorHAnsi"/>
          <w:color w:val="240B14"/>
        </w:rPr>
      </w:pPr>
      <w:r w:rsidRPr="000571F9">
        <w:rPr>
          <w:rFonts w:asciiTheme="minorHAnsi" w:hAnsiTheme="minorHAnsi" w:cstheme="minorHAnsi"/>
          <w:color w:val="240B14"/>
        </w:rPr>
        <w:t>We compare the average monthly CPI for the 12 months ending in September to the 12-month average a year earlier. We then divide the two averages to get the inflation factor.</w:t>
      </w:r>
    </w:p>
    <w:p w14:paraId="54EC5941" w14:textId="77777777" w:rsidR="00887416" w:rsidRPr="000571F9" w:rsidRDefault="00887416" w:rsidP="00887416">
      <w:pPr>
        <w:shd w:val="clear" w:color="auto" w:fill="F7F7F7"/>
        <w:spacing w:after="100" w:afterAutospacing="1" w:line="240" w:lineRule="auto"/>
        <w:rPr>
          <w:rFonts w:eastAsia="Times New Roman" w:cstheme="minorHAnsi"/>
          <w:color w:val="240B14"/>
          <w:sz w:val="24"/>
          <w:szCs w:val="24"/>
          <w:lang w:eastAsia="en-CA"/>
        </w:rPr>
      </w:pPr>
      <w:r w:rsidRPr="000571F9">
        <w:rPr>
          <w:rFonts w:eastAsia="Times New Roman" w:cstheme="minorHAnsi"/>
          <w:color w:val="240B14"/>
          <w:sz w:val="24"/>
          <w:szCs w:val="24"/>
          <w:lang w:eastAsia="en-CA"/>
        </w:rPr>
        <w:t>Here's how the factor was determined for the 2023 baseline cost-of-living adjustment:</w:t>
      </w:r>
    </w:p>
    <w:p w14:paraId="0A290256" w14:textId="77777777" w:rsidR="00887416" w:rsidRPr="000571F9" w:rsidRDefault="00887416" w:rsidP="00887416">
      <w:pPr>
        <w:shd w:val="clear" w:color="auto" w:fill="DDF1F0"/>
        <w:spacing w:after="0" w:line="240" w:lineRule="auto"/>
        <w:jc w:val="center"/>
        <w:rPr>
          <w:rFonts w:eastAsia="Times New Roman" w:cstheme="minorHAnsi"/>
          <w:b/>
          <w:bCs/>
          <w:color w:val="212529"/>
          <w:sz w:val="24"/>
          <w:szCs w:val="24"/>
          <w:lang w:eastAsia="en-CA"/>
        </w:rPr>
      </w:pPr>
      <w:r w:rsidRPr="000571F9">
        <w:rPr>
          <w:rFonts w:eastAsia="Times New Roman" w:cstheme="minorHAnsi"/>
          <w:b/>
          <w:bCs/>
          <w:color w:val="212529"/>
          <w:sz w:val="24"/>
          <w:szCs w:val="24"/>
          <w:lang w:eastAsia="en-CA"/>
        </w:rPr>
        <w:t>148.8</w:t>
      </w:r>
    </w:p>
    <w:p w14:paraId="624B4A0C" w14:textId="77777777" w:rsidR="00887416" w:rsidRPr="000571F9" w:rsidRDefault="00887416" w:rsidP="00887416">
      <w:pPr>
        <w:shd w:val="clear" w:color="auto" w:fill="DDF1F0"/>
        <w:spacing w:after="0" w:line="240" w:lineRule="auto"/>
        <w:jc w:val="center"/>
        <w:rPr>
          <w:rFonts w:eastAsia="Times New Roman" w:cstheme="minorHAnsi"/>
          <w:color w:val="212529"/>
          <w:sz w:val="24"/>
          <w:szCs w:val="24"/>
          <w:lang w:eastAsia="en-CA"/>
        </w:rPr>
      </w:pPr>
      <w:r w:rsidRPr="000571F9">
        <w:rPr>
          <w:rFonts w:eastAsia="Times New Roman" w:cstheme="minorHAnsi"/>
          <w:color w:val="212529"/>
          <w:sz w:val="24"/>
          <w:szCs w:val="24"/>
          <w:lang w:eastAsia="en-CA"/>
        </w:rPr>
        <w:t>Average monthly CPI for 12 months ending in September 2022</w:t>
      </w:r>
    </w:p>
    <w:p w14:paraId="7D64A006" w14:textId="77777777" w:rsidR="00887416" w:rsidRPr="000571F9" w:rsidRDefault="00887416" w:rsidP="00887416">
      <w:pPr>
        <w:shd w:val="clear" w:color="auto" w:fill="DDF1F0"/>
        <w:spacing w:after="0" w:line="240" w:lineRule="auto"/>
        <w:jc w:val="center"/>
        <w:rPr>
          <w:rFonts w:eastAsia="Times New Roman" w:cstheme="minorHAnsi"/>
          <w:b/>
          <w:bCs/>
          <w:color w:val="212529"/>
          <w:sz w:val="24"/>
          <w:szCs w:val="24"/>
          <w:lang w:eastAsia="en-CA"/>
        </w:rPr>
      </w:pPr>
      <w:r w:rsidRPr="000571F9">
        <w:rPr>
          <w:rFonts w:eastAsia="Times New Roman" w:cstheme="minorHAnsi"/>
          <w:b/>
          <w:bCs/>
          <w:color w:val="212529"/>
          <w:sz w:val="24"/>
          <w:szCs w:val="24"/>
          <w:lang w:eastAsia="en-CA"/>
        </w:rPr>
        <w:t>÷</w:t>
      </w:r>
    </w:p>
    <w:p w14:paraId="185BF514" w14:textId="77777777" w:rsidR="00887416" w:rsidRPr="000571F9" w:rsidRDefault="00887416" w:rsidP="00887416">
      <w:pPr>
        <w:shd w:val="clear" w:color="auto" w:fill="DDF1F0"/>
        <w:spacing w:after="0" w:line="240" w:lineRule="auto"/>
        <w:jc w:val="center"/>
        <w:rPr>
          <w:rFonts w:eastAsia="Times New Roman" w:cstheme="minorHAnsi"/>
          <w:b/>
          <w:bCs/>
          <w:color w:val="212529"/>
          <w:sz w:val="24"/>
          <w:szCs w:val="24"/>
          <w:lang w:eastAsia="en-CA"/>
        </w:rPr>
      </w:pPr>
      <w:r w:rsidRPr="000571F9">
        <w:rPr>
          <w:rFonts w:eastAsia="Times New Roman" w:cstheme="minorHAnsi"/>
          <w:b/>
          <w:bCs/>
          <w:color w:val="212529"/>
          <w:sz w:val="24"/>
          <w:szCs w:val="24"/>
          <w:lang w:eastAsia="en-CA"/>
        </w:rPr>
        <w:t>140.0</w:t>
      </w:r>
    </w:p>
    <w:p w14:paraId="1AD5AD26" w14:textId="77777777" w:rsidR="00887416" w:rsidRPr="000571F9" w:rsidRDefault="00887416" w:rsidP="00887416">
      <w:pPr>
        <w:shd w:val="clear" w:color="auto" w:fill="DDF1F0"/>
        <w:spacing w:after="0" w:line="240" w:lineRule="auto"/>
        <w:jc w:val="center"/>
        <w:rPr>
          <w:rFonts w:eastAsia="Times New Roman" w:cstheme="minorHAnsi"/>
          <w:color w:val="212529"/>
          <w:sz w:val="24"/>
          <w:szCs w:val="24"/>
          <w:lang w:eastAsia="en-CA"/>
        </w:rPr>
      </w:pPr>
      <w:r w:rsidRPr="000571F9">
        <w:rPr>
          <w:rFonts w:eastAsia="Times New Roman" w:cstheme="minorHAnsi"/>
          <w:color w:val="212529"/>
          <w:sz w:val="24"/>
          <w:szCs w:val="24"/>
          <w:lang w:eastAsia="en-CA"/>
        </w:rPr>
        <w:t>Average monthly CPI for 12 months ending in September 2021</w:t>
      </w:r>
    </w:p>
    <w:p w14:paraId="12605D14" w14:textId="77777777" w:rsidR="00887416" w:rsidRPr="000571F9" w:rsidRDefault="00887416" w:rsidP="00887416">
      <w:pPr>
        <w:shd w:val="clear" w:color="auto" w:fill="DDF1F0"/>
        <w:spacing w:after="0" w:line="240" w:lineRule="auto"/>
        <w:jc w:val="center"/>
        <w:rPr>
          <w:rFonts w:eastAsia="Times New Roman" w:cstheme="minorHAnsi"/>
          <w:b/>
          <w:bCs/>
          <w:color w:val="212529"/>
          <w:sz w:val="24"/>
          <w:szCs w:val="24"/>
          <w:lang w:eastAsia="en-CA"/>
        </w:rPr>
      </w:pPr>
      <w:r w:rsidRPr="000571F9">
        <w:rPr>
          <w:rFonts w:eastAsia="Times New Roman" w:cstheme="minorHAnsi"/>
          <w:b/>
          <w:bCs/>
          <w:color w:val="212529"/>
          <w:sz w:val="24"/>
          <w:szCs w:val="24"/>
          <w:lang w:eastAsia="en-CA"/>
        </w:rPr>
        <w:t>=</w:t>
      </w:r>
    </w:p>
    <w:p w14:paraId="15DF8CAE" w14:textId="77777777" w:rsidR="00887416" w:rsidRPr="000571F9" w:rsidRDefault="00887416" w:rsidP="00887416">
      <w:pPr>
        <w:shd w:val="clear" w:color="auto" w:fill="DDF1F0"/>
        <w:spacing w:after="0" w:line="240" w:lineRule="auto"/>
        <w:jc w:val="center"/>
        <w:rPr>
          <w:rFonts w:eastAsia="Times New Roman" w:cstheme="minorHAnsi"/>
          <w:b/>
          <w:bCs/>
          <w:color w:val="212529"/>
          <w:sz w:val="24"/>
          <w:szCs w:val="24"/>
          <w:lang w:eastAsia="en-CA"/>
        </w:rPr>
      </w:pPr>
      <w:r w:rsidRPr="000571F9">
        <w:rPr>
          <w:rFonts w:eastAsia="Times New Roman" w:cstheme="minorHAnsi"/>
          <w:b/>
          <w:bCs/>
          <w:color w:val="212529"/>
          <w:sz w:val="24"/>
          <w:szCs w:val="24"/>
          <w:lang w:eastAsia="en-CA"/>
        </w:rPr>
        <w:t>1.063</w:t>
      </w:r>
    </w:p>
    <w:p w14:paraId="3C249C78" w14:textId="77777777" w:rsidR="00887416" w:rsidRPr="000571F9" w:rsidRDefault="00887416" w:rsidP="00887416">
      <w:pPr>
        <w:shd w:val="clear" w:color="auto" w:fill="DDF1F0"/>
        <w:spacing w:after="0" w:line="240" w:lineRule="auto"/>
        <w:jc w:val="center"/>
        <w:rPr>
          <w:rFonts w:eastAsia="Times New Roman" w:cstheme="minorHAnsi"/>
          <w:color w:val="212529"/>
          <w:sz w:val="24"/>
          <w:szCs w:val="24"/>
          <w:lang w:eastAsia="en-CA"/>
        </w:rPr>
      </w:pPr>
      <w:r w:rsidRPr="000571F9">
        <w:rPr>
          <w:rFonts w:eastAsia="Times New Roman" w:cstheme="minorHAnsi"/>
          <w:color w:val="212529"/>
          <w:sz w:val="24"/>
          <w:szCs w:val="24"/>
          <w:lang w:eastAsia="en-CA"/>
        </w:rPr>
        <w:t>Inflation factor</w:t>
      </w:r>
    </w:p>
    <w:p w14:paraId="63937657" w14:textId="77777777" w:rsidR="00887416" w:rsidRPr="000571F9" w:rsidRDefault="00887416" w:rsidP="00887416">
      <w:pPr>
        <w:pStyle w:val="mt-2"/>
        <w:shd w:val="clear" w:color="auto" w:fill="F7F7F7"/>
        <w:rPr>
          <w:rFonts w:asciiTheme="minorHAnsi" w:hAnsiTheme="minorHAnsi" w:cstheme="minorHAnsi"/>
          <w:color w:val="240B14"/>
        </w:rPr>
      </w:pPr>
      <w:r w:rsidRPr="000571F9">
        <w:rPr>
          <w:rStyle w:val="Strong"/>
          <w:rFonts w:asciiTheme="minorHAnsi" w:hAnsiTheme="minorHAnsi" w:cstheme="minorHAnsi"/>
          <w:color w:val="240B14"/>
        </w:rPr>
        <w:t xml:space="preserve">Step 2: Convert factor to a </w:t>
      </w:r>
      <w:proofErr w:type="gramStart"/>
      <w:r w:rsidRPr="000571F9">
        <w:rPr>
          <w:rStyle w:val="Strong"/>
          <w:rFonts w:asciiTheme="minorHAnsi" w:hAnsiTheme="minorHAnsi" w:cstheme="minorHAnsi"/>
          <w:color w:val="240B14"/>
        </w:rPr>
        <w:t>percentage</w:t>
      </w:r>
      <w:proofErr w:type="gramEnd"/>
    </w:p>
    <w:p w14:paraId="2B2FE423" w14:textId="77777777" w:rsidR="00887416" w:rsidRPr="000571F9" w:rsidRDefault="00887416" w:rsidP="00887416">
      <w:pPr>
        <w:pStyle w:val="mb-2"/>
        <w:shd w:val="clear" w:color="auto" w:fill="F7F7F7"/>
        <w:spacing w:before="0" w:beforeAutospacing="0"/>
        <w:rPr>
          <w:rFonts w:asciiTheme="minorHAnsi" w:hAnsiTheme="minorHAnsi" w:cstheme="minorHAnsi"/>
          <w:color w:val="240B14"/>
        </w:rPr>
      </w:pPr>
      <w:r w:rsidRPr="000571F9">
        <w:rPr>
          <w:rFonts w:asciiTheme="minorHAnsi" w:hAnsiTheme="minorHAnsi" w:cstheme="minorHAnsi"/>
          <w:color w:val="240B14"/>
        </w:rPr>
        <w:t>To communicate the size of the adjustment, we convert the factor to a percentage. Here’s how the factor is expressed as a percentage, using the 2023 inflation adjustment: (1.063 − 1) × 100 = 6.3%</w:t>
      </w:r>
    </w:p>
    <w:p w14:paraId="674FE835" w14:textId="77777777" w:rsidR="00887416" w:rsidRPr="000571F9" w:rsidRDefault="00887416" w:rsidP="00887416">
      <w:pPr>
        <w:pStyle w:val="mt-2"/>
        <w:shd w:val="clear" w:color="auto" w:fill="F7F7F7"/>
        <w:rPr>
          <w:rFonts w:asciiTheme="minorHAnsi" w:hAnsiTheme="minorHAnsi" w:cstheme="minorHAnsi"/>
          <w:color w:val="240B14"/>
        </w:rPr>
      </w:pPr>
      <w:r w:rsidRPr="000571F9">
        <w:rPr>
          <w:rStyle w:val="Strong"/>
          <w:rFonts w:asciiTheme="minorHAnsi" w:hAnsiTheme="minorHAnsi" w:cstheme="minorHAnsi"/>
          <w:color w:val="240B14"/>
        </w:rPr>
        <w:t xml:space="preserve">Step 3: Convert percentage to reflect conditional inflation protection for service after </w:t>
      </w:r>
      <w:proofErr w:type="gramStart"/>
      <w:r w:rsidRPr="000571F9">
        <w:rPr>
          <w:rStyle w:val="Strong"/>
          <w:rFonts w:asciiTheme="minorHAnsi" w:hAnsiTheme="minorHAnsi" w:cstheme="minorHAnsi"/>
          <w:color w:val="240B14"/>
        </w:rPr>
        <w:t>2009</w:t>
      </w:r>
      <w:proofErr w:type="gramEnd"/>
    </w:p>
    <w:p w14:paraId="529CA6D3" w14:textId="458B0A09" w:rsidR="00021958" w:rsidRPr="00BE0193" w:rsidRDefault="00887416" w:rsidP="00BE0193">
      <w:pPr>
        <w:pStyle w:val="NormalWeb"/>
        <w:shd w:val="clear" w:color="auto" w:fill="F7F7F7"/>
        <w:spacing w:before="0" w:beforeAutospacing="0"/>
        <w:rPr>
          <w:rFonts w:asciiTheme="minorHAnsi" w:hAnsiTheme="minorHAnsi" w:cstheme="minorHAnsi"/>
          <w:color w:val="240B14"/>
        </w:rPr>
      </w:pPr>
      <w:r w:rsidRPr="000571F9">
        <w:rPr>
          <w:rFonts w:asciiTheme="minorHAnsi" w:hAnsiTheme="minorHAnsi" w:cstheme="minorHAnsi"/>
          <w:color w:val="240B14"/>
        </w:rPr>
        <w:t>For pension credit earned after 2009, inflation protection is conditional based on the plan’s funding status. For pension credit earned during 2010 to 2013, it can range from 50% to 100% of the inflation rate. For pension credit earned after 2013, it can range from 0% to 100%. For 2023, the conditional inflation level is 100% for both periods.</w:t>
      </w:r>
    </w:p>
    <w:p w14:paraId="756F35BB" w14:textId="446FB143" w:rsidR="00021958" w:rsidRPr="00BE0193" w:rsidRDefault="00021958">
      <w:pPr>
        <w:rPr>
          <w:rFonts w:cstheme="minorHAnsi"/>
          <w:b/>
          <w:bCs/>
          <w:sz w:val="24"/>
          <w:szCs w:val="24"/>
        </w:rPr>
      </w:pPr>
      <w:r w:rsidRPr="00BE0193">
        <w:rPr>
          <w:rFonts w:cstheme="minorHAnsi"/>
          <w:b/>
          <w:bCs/>
          <w:sz w:val="24"/>
          <w:szCs w:val="24"/>
        </w:rPr>
        <w:t>Quebec</w:t>
      </w:r>
    </w:p>
    <w:p w14:paraId="296B8843" w14:textId="77777777" w:rsidR="00871057" w:rsidRPr="000571F9" w:rsidRDefault="00871057" w:rsidP="00871057">
      <w:pPr>
        <w:shd w:val="clear" w:color="auto" w:fill="FFFFFF"/>
        <w:spacing w:after="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Teachers:</w:t>
      </w:r>
    </w:p>
    <w:p w14:paraId="4CB8E349" w14:textId="3A4FFB61" w:rsidR="00871057" w:rsidRPr="000571F9" w:rsidRDefault="00871057" w:rsidP="00871057">
      <w:pPr>
        <w:shd w:val="clear" w:color="auto" w:fill="FFFFFF"/>
        <w:spacing w:after="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 xml:space="preserve">Contributions before July 1st, </w:t>
      </w:r>
      <w:proofErr w:type="gramStart"/>
      <w:r w:rsidRPr="000571F9">
        <w:rPr>
          <w:rFonts w:eastAsia="Times New Roman" w:cstheme="minorHAnsi"/>
          <w:color w:val="222222"/>
          <w:sz w:val="24"/>
          <w:szCs w:val="24"/>
          <w:lang w:eastAsia="en-CA"/>
        </w:rPr>
        <w:t>1982 :</w:t>
      </w:r>
      <w:proofErr w:type="gramEnd"/>
      <w:r w:rsidRPr="000571F9">
        <w:rPr>
          <w:rFonts w:eastAsia="Times New Roman" w:cstheme="minorHAnsi"/>
          <w:color w:val="222222"/>
          <w:sz w:val="24"/>
          <w:szCs w:val="24"/>
          <w:lang w:eastAsia="en-CA"/>
        </w:rPr>
        <w:t xml:space="preserve"> Indexed 100% according to inflation</w:t>
      </w:r>
    </w:p>
    <w:p w14:paraId="6BF433DE" w14:textId="77777777" w:rsidR="00871057" w:rsidRPr="000571F9" w:rsidRDefault="00871057" w:rsidP="00871057">
      <w:pPr>
        <w:shd w:val="clear" w:color="auto" w:fill="FFFFFF"/>
        <w:spacing w:after="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 xml:space="preserve">Contributions between July 1st 1982 and December 31, </w:t>
      </w:r>
      <w:proofErr w:type="gramStart"/>
      <w:r w:rsidRPr="000571F9">
        <w:rPr>
          <w:rFonts w:eastAsia="Times New Roman" w:cstheme="minorHAnsi"/>
          <w:color w:val="222222"/>
          <w:sz w:val="24"/>
          <w:szCs w:val="24"/>
          <w:lang w:eastAsia="en-CA"/>
        </w:rPr>
        <w:t>1999 :</w:t>
      </w:r>
      <w:proofErr w:type="gramEnd"/>
      <w:r w:rsidRPr="000571F9">
        <w:rPr>
          <w:rFonts w:eastAsia="Times New Roman" w:cstheme="minorHAnsi"/>
          <w:color w:val="222222"/>
          <w:sz w:val="24"/>
          <w:szCs w:val="24"/>
          <w:lang w:eastAsia="en-CA"/>
        </w:rPr>
        <w:t xml:space="preserve"> Indexed inflation minus 3% (note that inflation is usually around 2%, therefore very few years were indexed)</w:t>
      </w:r>
    </w:p>
    <w:p w14:paraId="1276CF60" w14:textId="77777777" w:rsidR="00871057" w:rsidRPr="000571F9" w:rsidRDefault="00871057" w:rsidP="00871057">
      <w:pPr>
        <w:shd w:val="clear" w:color="auto" w:fill="FFFFFF"/>
        <w:spacing w:after="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Contributions since January 1st</w:t>
      </w:r>
      <w:proofErr w:type="gramStart"/>
      <w:r w:rsidRPr="000571F9">
        <w:rPr>
          <w:rFonts w:eastAsia="Times New Roman" w:cstheme="minorHAnsi"/>
          <w:color w:val="222222"/>
          <w:sz w:val="24"/>
          <w:szCs w:val="24"/>
          <w:lang w:eastAsia="en-CA"/>
        </w:rPr>
        <w:t xml:space="preserve"> 2000</w:t>
      </w:r>
      <w:proofErr w:type="gramEnd"/>
      <w:r w:rsidRPr="000571F9">
        <w:rPr>
          <w:rFonts w:eastAsia="Times New Roman" w:cstheme="minorHAnsi"/>
          <w:color w:val="222222"/>
          <w:sz w:val="24"/>
          <w:szCs w:val="24"/>
          <w:lang w:eastAsia="en-CA"/>
        </w:rPr>
        <w:t>: Indexed 50% of inflation or inflation minus 3%, whichever is more advantageous.</w:t>
      </w:r>
    </w:p>
    <w:p w14:paraId="72FE55F0" w14:textId="77777777" w:rsidR="00871057" w:rsidRPr="000571F9" w:rsidRDefault="00871057" w:rsidP="00871057">
      <w:pPr>
        <w:shd w:val="clear" w:color="auto" w:fill="FFFFFF"/>
        <w:spacing w:after="0" w:line="240" w:lineRule="auto"/>
        <w:rPr>
          <w:rFonts w:eastAsia="Times New Roman" w:cstheme="minorHAnsi"/>
          <w:color w:val="222222"/>
          <w:sz w:val="24"/>
          <w:szCs w:val="24"/>
          <w:lang w:eastAsia="en-CA"/>
        </w:rPr>
      </w:pPr>
    </w:p>
    <w:p w14:paraId="14D29275" w14:textId="77777777" w:rsidR="00EF7BC4" w:rsidRPr="000571F9" w:rsidRDefault="00871057" w:rsidP="00EF7BC4">
      <w:pPr>
        <w:shd w:val="clear" w:color="auto" w:fill="FFFFFF"/>
        <w:rPr>
          <w:rFonts w:eastAsia="Times New Roman" w:cstheme="minorHAnsi"/>
          <w:color w:val="222222"/>
          <w:sz w:val="24"/>
          <w:szCs w:val="24"/>
          <w:lang w:eastAsia="en-CA"/>
        </w:rPr>
      </w:pPr>
      <w:r w:rsidRPr="000571F9">
        <w:rPr>
          <w:rFonts w:eastAsia="Times New Roman" w:cstheme="minorHAnsi"/>
          <w:color w:val="222222"/>
          <w:sz w:val="24"/>
          <w:szCs w:val="24"/>
          <w:lang w:eastAsia="en-CA"/>
        </w:rPr>
        <w:t xml:space="preserve">The indexation occurs on January 1st of every year. The 2023 indexation is 6.8%. </w:t>
      </w:r>
      <w:proofErr w:type="gramStart"/>
      <w:r w:rsidRPr="000571F9">
        <w:rPr>
          <w:rFonts w:eastAsia="Times New Roman" w:cstheme="minorHAnsi"/>
          <w:color w:val="222222"/>
          <w:sz w:val="24"/>
          <w:szCs w:val="24"/>
          <w:lang w:eastAsia="en-CA"/>
        </w:rPr>
        <w:t>So</w:t>
      </w:r>
      <w:proofErr w:type="gramEnd"/>
      <w:r w:rsidRPr="000571F9">
        <w:rPr>
          <w:rFonts w:eastAsia="Times New Roman" w:cstheme="minorHAnsi"/>
          <w:color w:val="222222"/>
          <w:sz w:val="24"/>
          <w:szCs w:val="24"/>
          <w:lang w:eastAsia="en-CA"/>
        </w:rPr>
        <w:t xml:space="preserve"> each member will have to see where they contributed and calculate their total indexation.</w:t>
      </w:r>
      <w:r w:rsidR="00EF7BC4" w:rsidRPr="000571F9">
        <w:rPr>
          <w:rFonts w:eastAsia="Times New Roman" w:cstheme="minorHAnsi"/>
          <w:color w:val="222222"/>
          <w:sz w:val="24"/>
          <w:szCs w:val="24"/>
          <w:lang w:eastAsia="en-CA"/>
        </w:rPr>
        <w:t xml:space="preserve">  See: </w:t>
      </w:r>
      <w:hyperlink r:id="rId5" w:tgtFrame="_blank" w:history="1">
        <w:r w:rsidR="00EF7BC4" w:rsidRPr="000571F9">
          <w:rPr>
            <w:rFonts w:eastAsia="Times New Roman" w:cstheme="minorHAnsi"/>
            <w:color w:val="1155CC"/>
            <w:sz w:val="24"/>
            <w:szCs w:val="24"/>
            <w:u w:val="single"/>
            <w:lang w:eastAsia="en-CA"/>
          </w:rPr>
          <w:t>https://areq.lacsq.org/retraite-quebec-taux-dindexation-au-montant-de-la-rente-du-regime-de-rentes-du-quebec-rrq-pour-2023/2022/11/</w:t>
        </w:r>
      </w:hyperlink>
    </w:p>
    <w:p w14:paraId="2233BDA4" w14:textId="6D494647" w:rsidR="00871057" w:rsidRPr="000571F9" w:rsidRDefault="00871057" w:rsidP="00871057">
      <w:pPr>
        <w:shd w:val="clear" w:color="auto" w:fill="FFFFFF"/>
        <w:spacing w:after="100" w:line="240" w:lineRule="auto"/>
        <w:rPr>
          <w:rFonts w:eastAsia="Times New Roman" w:cstheme="minorHAnsi"/>
          <w:color w:val="222222"/>
          <w:sz w:val="24"/>
          <w:szCs w:val="24"/>
          <w:lang w:eastAsia="en-CA"/>
        </w:rPr>
      </w:pPr>
    </w:p>
    <w:p w14:paraId="55D5AB6D" w14:textId="6DD6D314" w:rsidR="00871057" w:rsidRPr="000571F9" w:rsidRDefault="00871057" w:rsidP="00871057">
      <w:pPr>
        <w:shd w:val="clear" w:color="auto" w:fill="FFFFFF"/>
        <w:spacing w:after="10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Administrators:</w:t>
      </w:r>
    </w:p>
    <w:p w14:paraId="6EB1193E" w14:textId="60853430" w:rsidR="00021958" w:rsidRPr="00BE0193" w:rsidRDefault="00871057" w:rsidP="00BE0193">
      <w:pPr>
        <w:shd w:val="clear" w:color="auto" w:fill="FFFFFF"/>
        <w:spacing w:after="100" w:line="240" w:lineRule="auto"/>
        <w:rPr>
          <w:rFonts w:eastAsia="Times New Roman" w:cstheme="minorHAnsi"/>
          <w:color w:val="222222"/>
          <w:sz w:val="24"/>
          <w:szCs w:val="24"/>
          <w:lang w:eastAsia="en-CA"/>
        </w:rPr>
      </w:pPr>
      <w:r w:rsidRPr="000571F9">
        <w:rPr>
          <w:rFonts w:eastAsia="Times New Roman" w:cstheme="minorHAnsi"/>
          <w:color w:val="222222"/>
          <w:sz w:val="24"/>
          <w:szCs w:val="24"/>
          <w:lang w:eastAsia="en-CA"/>
        </w:rPr>
        <w:t xml:space="preserve">The administrators are in a different </w:t>
      </w:r>
      <w:proofErr w:type="gramStart"/>
      <w:r w:rsidRPr="000571F9">
        <w:rPr>
          <w:rFonts w:eastAsia="Times New Roman" w:cstheme="minorHAnsi"/>
          <w:color w:val="222222"/>
          <w:sz w:val="24"/>
          <w:szCs w:val="24"/>
          <w:lang w:eastAsia="en-CA"/>
        </w:rPr>
        <w:t>plan</w:t>
      </w:r>
      <w:proofErr w:type="gramEnd"/>
      <w:r w:rsidRPr="000571F9">
        <w:rPr>
          <w:rFonts w:eastAsia="Times New Roman" w:cstheme="minorHAnsi"/>
          <w:color w:val="222222"/>
          <w:sz w:val="24"/>
          <w:szCs w:val="24"/>
          <w:lang w:eastAsia="en-CA"/>
        </w:rPr>
        <w:t xml:space="preserve"> and they are in the fifth year of a six year freeze.</w:t>
      </w:r>
    </w:p>
    <w:p w14:paraId="0F6C0395" w14:textId="51977B5B" w:rsidR="00021958" w:rsidRPr="00BE0193" w:rsidRDefault="00021958">
      <w:pPr>
        <w:rPr>
          <w:rFonts w:cstheme="minorHAnsi"/>
          <w:b/>
          <w:bCs/>
          <w:sz w:val="24"/>
          <w:szCs w:val="24"/>
        </w:rPr>
      </w:pPr>
      <w:r w:rsidRPr="00BE0193">
        <w:rPr>
          <w:rFonts w:cstheme="minorHAnsi"/>
          <w:b/>
          <w:bCs/>
          <w:sz w:val="24"/>
          <w:szCs w:val="24"/>
        </w:rPr>
        <w:t>New Brunswick</w:t>
      </w:r>
    </w:p>
    <w:p w14:paraId="4C2B1D62" w14:textId="77777777" w:rsidR="00C048D3" w:rsidRPr="002B7B2E" w:rsidRDefault="00C048D3"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The New Brunswick Teachers’ Pension Plan provides for an Indexing Adjustment Benefit (IAB, also known as “indexation”) each year (on January 1</w:t>
      </w:r>
      <w:proofErr w:type="spellStart"/>
      <w:r w:rsidRPr="002B7B2E">
        <w:rPr>
          <w:rFonts w:asciiTheme="minorHAnsi" w:hAnsiTheme="minorHAnsi" w:cstheme="minorHAnsi"/>
          <w:color w:val="240B14"/>
        </w:rPr>
        <w:t>st</w:t>
      </w:r>
      <w:proofErr w:type="spellEnd"/>
      <w:r w:rsidRPr="002B7B2E">
        <w:rPr>
          <w:rFonts w:asciiTheme="minorHAnsi" w:hAnsiTheme="minorHAnsi" w:cstheme="minorHAnsi"/>
          <w:color w:val="240B14"/>
        </w:rPr>
        <w:t xml:space="preserve">) </w:t>
      </w:r>
      <w:proofErr w:type="gramStart"/>
      <w:r w:rsidRPr="002B7B2E">
        <w:rPr>
          <w:rFonts w:asciiTheme="minorHAnsi" w:hAnsiTheme="minorHAnsi" w:cstheme="minorHAnsi"/>
          <w:color w:val="240B14"/>
        </w:rPr>
        <w:t>as long as</w:t>
      </w:r>
      <w:proofErr w:type="gramEnd"/>
      <w:r w:rsidRPr="002B7B2E">
        <w:rPr>
          <w:rFonts w:asciiTheme="minorHAnsi" w:hAnsiTheme="minorHAnsi" w:cstheme="minorHAnsi"/>
          <w:color w:val="240B14"/>
        </w:rPr>
        <w:t xml:space="preserve"> there is a large enough surplus in the pension plan, up to a maximum Consumer Price Index (CPI) increase of 4.75% as follows:</w:t>
      </w:r>
    </w:p>
    <w:p w14:paraId="2D131224" w14:textId="77777777" w:rsidR="00C048D3" w:rsidRPr="000571F9" w:rsidRDefault="00C048D3" w:rsidP="00C048D3">
      <w:pPr>
        <w:pStyle w:val="NormalWeb"/>
        <w:numPr>
          <w:ilvl w:val="0"/>
          <w:numId w:val="2"/>
        </w:numPr>
        <w:shd w:val="clear" w:color="auto" w:fill="FFFFFF"/>
        <w:ind w:left="945"/>
        <w:rPr>
          <w:rFonts w:asciiTheme="minorHAnsi" w:hAnsiTheme="minorHAnsi" w:cstheme="minorHAnsi"/>
          <w:color w:val="222222"/>
        </w:rPr>
      </w:pPr>
      <w:r w:rsidRPr="000571F9">
        <w:rPr>
          <w:rFonts w:asciiTheme="minorHAnsi" w:hAnsiTheme="minorHAnsi" w:cstheme="minorHAnsi"/>
          <w:color w:val="222222"/>
        </w:rPr>
        <w:t xml:space="preserve">For active members, the pension benefits accumulated (including benefits earned up to July 1, 2014) will be adjusted </w:t>
      </w:r>
      <w:proofErr w:type="gramStart"/>
      <w:r w:rsidRPr="000571F9">
        <w:rPr>
          <w:rFonts w:asciiTheme="minorHAnsi" w:hAnsiTheme="minorHAnsi" w:cstheme="minorHAnsi"/>
          <w:color w:val="222222"/>
        </w:rPr>
        <w:t>on the basis of</w:t>
      </w:r>
      <w:proofErr w:type="gramEnd"/>
      <w:r w:rsidRPr="000571F9">
        <w:rPr>
          <w:rFonts w:asciiTheme="minorHAnsi" w:hAnsiTheme="minorHAnsi" w:cstheme="minorHAnsi"/>
          <w:color w:val="222222"/>
        </w:rPr>
        <w:t xml:space="preserve"> 100% of the increase in the CPI.</w:t>
      </w:r>
    </w:p>
    <w:p w14:paraId="4FABCB3D" w14:textId="77777777" w:rsidR="00C048D3" w:rsidRPr="000571F9" w:rsidRDefault="00C048D3" w:rsidP="00C048D3">
      <w:pPr>
        <w:pStyle w:val="NormalWeb"/>
        <w:numPr>
          <w:ilvl w:val="0"/>
          <w:numId w:val="2"/>
        </w:numPr>
        <w:shd w:val="clear" w:color="auto" w:fill="FFFFFF"/>
        <w:ind w:left="945"/>
        <w:rPr>
          <w:rFonts w:asciiTheme="minorHAnsi" w:hAnsiTheme="minorHAnsi" w:cstheme="minorHAnsi"/>
          <w:color w:val="222222"/>
        </w:rPr>
      </w:pPr>
      <w:r w:rsidRPr="000571F9">
        <w:rPr>
          <w:rFonts w:asciiTheme="minorHAnsi" w:hAnsiTheme="minorHAnsi" w:cstheme="minorHAnsi"/>
          <w:color w:val="222222"/>
        </w:rPr>
        <w:t xml:space="preserve">For retired members, deferred members and any surviving spouses or dependent children receiving a pension benefit under the New Brunswick Teachers’ Pension Plan, pension benefits will be adjusted </w:t>
      </w:r>
      <w:proofErr w:type="gramStart"/>
      <w:r w:rsidRPr="000571F9">
        <w:rPr>
          <w:rFonts w:asciiTheme="minorHAnsi" w:hAnsiTheme="minorHAnsi" w:cstheme="minorHAnsi"/>
          <w:color w:val="222222"/>
        </w:rPr>
        <w:t>on the basis of</w:t>
      </w:r>
      <w:proofErr w:type="gramEnd"/>
      <w:r w:rsidRPr="000571F9">
        <w:rPr>
          <w:rFonts w:asciiTheme="minorHAnsi" w:hAnsiTheme="minorHAnsi" w:cstheme="minorHAnsi"/>
          <w:color w:val="222222"/>
        </w:rPr>
        <w:t xml:space="preserve"> 75% of the increase in the CPI.</w:t>
      </w:r>
    </w:p>
    <w:p w14:paraId="74C05392" w14:textId="713000CF" w:rsidR="00021958" w:rsidRPr="00BE0193" w:rsidRDefault="00C048D3" w:rsidP="00BE0193">
      <w:pPr>
        <w:pStyle w:val="NormalWeb"/>
        <w:shd w:val="clear" w:color="auto" w:fill="FFFFFF"/>
        <w:ind w:left="945"/>
        <w:rPr>
          <w:rFonts w:asciiTheme="minorHAnsi" w:hAnsiTheme="minorHAnsi" w:cstheme="minorHAnsi"/>
          <w:color w:val="222222"/>
        </w:rPr>
      </w:pPr>
      <w:r w:rsidRPr="000571F9">
        <w:rPr>
          <w:rFonts w:asciiTheme="minorHAnsi" w:hAnsiTheme="minorHAnsi" w:cstheme="minorHAnsi"/>
          <w:color w:val="222222"/>
        </w:rPr>
        <w:t xml:space="preserve">If the funding status of the New Brunswick Teachers’ Pension Plan does not allow for indexing to be granted </w:t>
      </w:r>
      <w:proofErr w:type="gramStart"/>
      <w:r w:rsidRPr="000571F9">
        <w:rPr>
          <w:rFonts w:asciiTheme="minorHAnsi" w:hAnsiTheme="minorHAnsi" w:cstheme="minorHAnsi"/>
          <w:color w:val="222222"/>
        </w:rPr>
        <w:t>in a given year</w:t>
      </w:r>
      <w:proofErr w:type="gramEnd"/>
      <w:r w:rsidRPr="000571F9">
        <w:rPr>
          <w:rFonts w:asciiTheme="minorHAnsi" w:hAnsiTheme="minorHAnsi" w:cstheme="minorHAnsi"/>
          <w:color w:val="222222"/>
        </w:rPr>
        <w:t>, the increases are carried forward to future years and may be paid if the funding status of the New Brunswick Teachers’ Pension Plan allows for it at that time. </w:t>
      </w:r>
    </w:p>
    <w:p w14:paraId="3892AE4E" w14:textId="0016622A" w:rsidR="00021958" w:rsidRPr="00BE0193" w:rsidRDefault="00021958">
      <w:pPr>
        <w:rPr>
          <w:rFonts w:cstheme="minorHAnsi"/>
          <w:b/>
          <w:bCs/>
          <w:sz w:val="24"/>
          <w:szCs w:val="24"/>
        </w:rPr>
      </w:pPr>
      <w:r w:rsidRPr="00BE0193">
        <w:rPr>
          <w:rFonts w:cstheme="minorHAnsi"/>
          <w:b/>
          <w:bCs/>
          <w:sz w:val="24"/>
          <w:szCs w:val="24"/>
        </w:rPr>
        <w:t>Nova Scotia</w:t>
      </w:r>
    </w:p>
    <w:p w14:paraId="60FC49E1" w14:textId="4D74A109"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 xml:space="preserve">The NSTPP has a </w:t>
      </w:r>
      <w:r w:rsidR="00BE0193" w:rsidRPr="002B7B2E">
        <w:rPr>
          <w:rFonts w:asciiTheme="minorHAnsi" w:hAnsiTheme="minorHAnsi" w:cstheme="minorHAnsi"/>
          <w:color w:val="240B14"/>
        </w:rPr>
        <w:t>two-tier</w:t>
      </w:r>
      <w:r w:rsidRPr="002B7B2E">
        <w:rPr>
          <w:rFonts w:asciiTheme="minorHAnsi" w:hAnsiTheme="minorHAnsi" w:cstheme="minorHAnsi"/>
          <w:color w:val="240B14"/>
        </w:rPr>
        <w:t xml:space="preserve"> aspect to their plan as it relates to Indexing. For pensions with an effective date before August 1st, 2006, the rate is equal to the increase in the </w:t>
      </w:r>
      <w:proofErr w:type="gramStart"/>
      <w:r w:rsidRPr="002B7B2E">
        <w:rPr>
          <w:rFonts w:asciiTheme="minorHAnsi" w:hAnsiTheme="minorHAnsi" w:cstheme="minorHAnsi"/>
          <w:color w:val="240B14"/>
        </w:rPr>
        <w:t>12 month</w:t>
      </w:r>
      <w:proofErr w:type="gramEnd"/>
      <w:r w:rsidRPr="002B7B2E">
        <w:rPr>
          <w:rFonts w:asciiTheme="minorHAnsi" w:hAnsiTheme="minorHAnsi" w:cstheme="minorHAnsi"/>
          <w:color w:val="240B14"/>
        </w:rPr>
        <w:t xml:space="preserve"> average Consumer Price Index (CPI) for Canada, less 1 percent, to a maximum of 6 percent. </w:t>
      </w:r>
    </w:p>
    <w:p w14:paraId="45D5832F"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 xml:space="preserve">Indexing in a given year for pensions with an effective date after August 1, 2006, as well as those of existing pensioners who opted for the new indexing arrangement, depends on the funding level of the plan. If the funding level as of December 31st of the preceding fiscal year is less than 90 percent, no indexing will be provided. At a funding level of between 90 percent and 100 percent indexing will be granted at 50% of the increase in the 12 month average CPI up to a maximum of 6%, at the discretion of the Board of Trustees. </w:t>
      </w:r>
    </w:p>
    <w:p w14:paraId="19A7E5A8"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If the funding level is greater than 100%, indexing will be provided at 100% of the increase in the 12 month average of CPI up to a maximum of 6%, to the extent that it does not reduce the funding level to below 100%; however, pensions will be increased by at least 50% of the increase in the 12 month average CPI up to a maximum of 6%. For the purpose of the valuation, it was assumed that indexing would not be paid in years in which it is discretionary.</w:t>
      </w:r>
    </w:p>
    <w:p w14:paraId="5F25A7C8"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 xml:space="preserve"> In 2022, those teachers in the first group (pension effective before August 1st, 2006) received indexing of 3.8% on August 1st. </w:t>
      </w:r>
    </w:p>
    <w:p w14:paraId="72EB324F"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lastRenderedPageBreak/>
        <w:t>Indexing for 2023 at this time has not been determined. Any indexing will take place on August 1st, 2023.</w:t>
      </w:r>
    </w:p>
    <w:p w14:paraId="4DDB631E"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 xml:space="preserve"> As of December 31st, </w:t>
      </w:r>
      <w:proofErr w:type="gramStart"/>
      <w:r w:rsidRPr="002B7B2E">
        <w:rPr>
          <w:rFonts w:asciiTheme="minorHAnsi" w:hAnsiTheme="minorHAnsi" w:cstheme="minorHAnsi"/>
          <w:color w:val="240B14"/>
        </w:rPr>
        <w:t>2021</w:t>
      </w:r>
      <w:proofErr w:type="gramEnd"/>
      <w:r w:rsidRPr="002B7B2E">
        <w:rPr>
          <w:rFonts w:asciiTheme="minorHAnsi" w:hAnsiTheme="minorHAnsi" w:cstheme="minorHAnsi"/>
          <w:color w:val="240B14"/>
        </w:rPr>
        <w:t xml:space="preserve"> there were 7884 retirees in the pre 2006 group who received CPI minus 1% indexing and 6169 in the second group who received no indexing. </w:t>
      </w:r>
    </w:p>
    <w:p w14:paraId="7B11697E" w14:textId="77777777" w:rsidR="004F63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The NS Government pays to the Pension an amount equal to the amount of increase the CPI-1 that the post August 1st</w:t>
      </w:r>
      <w:proofErr w:type="gramStart"/>
      <w:r w:rsidRPr="002B7B2E">
        <w:rPr>
          <w:rFonts w:asciiTheme="minorHAnsi" w:hAnsiTheme="minorHAnsi" w:cstheme="minorHAnsi"/>
          <w:color w:val="240B14"/>
        </w:rPr>
        <w:t xml:space="preserve"> 2006</w:t>
      </w:r>
      <w:proofErr w:type="gramEnd"/>
      <w:r w:rsidRPr="002B7B2E">
        <w:rPr>
          <w:rFonts w:asciiTheme="minorHAnsi" w:hAnsiTheme="minorHAnsi" w:cstheme="minorHAnsi"/>
          <w:color w:val="240B14"/>
        </w:rPr>
        <w:t xml:space="preserve"> would have received if they were in the same section as the pre 2006 retirees. </w:t>
      </w:r>
    </w:p>
    <w:p w14:paraId="75C08480" w14:textId="747657C0" w:rsidR="00021958" w:rsidRPr="002B7B2E" w:rsidRDefault="004F635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 xml:space="preserve">I would add that the NSTU and the NS Government are currently reviewing the </w:t>
      </w:r>
      <w:proofErr w:type="gramStart"/>
      <w:r w:rsidRPr="002B7B2E">
        <w:rPr>
          <w:rFonts w:asciiTheme="minorHAnsi" w:hAnsiTheme="minorHAnsi" w:cstheme="minorHAnsi"/>
          <w:color w:val="240B14"/>
        </w:rPr>
        <w:t>NSTPP</w:t>
      </w:r>
      <w:proofErr w:type="gramEnd"/>
      <w:r w:rsidRPr="002B7B2E">
        <w:rPr>
          <w:rFonts w:asciiTheme="minorHAnsi" w:hAnsiTheme="minorHAnsi" w:cstheme="minorHAnsi"/>
          <w:color w:val="240B14"/>
        </w:rPr>
        <w:t xml:space="preserve"> and the Pension Review Panel has submitted its Report to the Sponsors of the Plan (NSTU and the NS Government). Any recommendations made in the Report are </w:t>
      </w:r>
      <w:proofErr w:type="gramStart"/>
      <w:r w:rsidRPr="002B7B2E">
        <w:rPr>
          <w:rFonts w:asciiTheme="minorHAnsi" w:hAnsiTheme="minorHAnsi" w:cstheme="minorHAnsi"/>
          <w:color w:val="240B14"/>
        </w:rPr>
        <w:t>non binding</w:t>
      </w:r>
      <w:proofErr w:type="gramEnd"/>
      <w:r w:rsidRPr="002B7B2E">
        <w:rPr>
          <w:rFonts w:asciiTheme="minorHAnsi" w:hAnsiTheme="minorHAnsi" w:cstheme="minorHAnsi"/>
          <w:color w:val="240B14"/>
        </w:rPr>
        <w:t xml:space="preserve"> to the parties. The RTO is waiting to see the possible implications of this review on its membership.</w:t>
      </w:r>
    </w:p>
    <w:p w14:paraId="6553E73D" w14:textId="77777777" w:rsidR="00A761C4" w:rsidRPr="00BE0193" w:rsidRDefault="00A761C4" w:rsidP="00A761C4">
      <w:pPr>
        <w:spacing w:before="100" w:beforeAutospacing="1" w:after="100" w:afterAutospacing="1" w:line="240" w:lineRule="auto"/>
        <w:rPr>
          <w:rFonts w:cstheme="minorHAnsi"/>
          <w:b/>
          <w:bCs/>
          <w:sz w:val="24"/>
          <w:szCs w:val="24"/>
        </w:rPr>
      </w:pPr>
      <w:r w:rsidRPr="00BE0193">
        <w:rPr>
          <w:rFonts w:cstheme="minorHAnsi"/>
          <w:b/>
          <w:bCs/>
          <w:sz w:val="24"/>
          <w:szCs w:val="24"/>
        </w:rPr>
        <w:t>PEI</w:t>
      </w:r>
    </w:p>
    <w:p w14:paraId="052F7E9D" w14:textId="609CE29A" w:rsidR="00021958" w:rsidRPr="002B7B2E" w:rsidRDefault="002B7B2E"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O</w:t>
      </w:r>
      <w:r w:rsidRPr="002B7B2E">
        <w:rPr>
          <w:rFonts w:asciiTheme="minorHAnsi" w:hAnsiTheme="minorHAnsi" w:cstheme="minorHAnsi"/>
          <w:color w:val="240B14"/>
        </w:rPr>
        <w:t xml:space="preserve">ur indexing is based on the month to month change in the </w:t>
      </w:r>
      <w:proofErr w:type="gramStart"/>
      <w:r w:rsidRPr="002B7B2E">
        <w:rPr>
          <w:rFonts w:asciiTheme="minorHAnsi" w:hAnsiTheme="minorHAnsi" w:cstheme="minorHAnsi"/>
          <w:color w:val="240B14"/>
        </w:rPr>
        <w:t>Canadian  consumer</w:t>
      </w:r>
      <w:proofErr w:type="gramEnd"/>
      <w:r w:rsidRPr="002B7B2E">
        <w:rPr>
          <w:rFonts w:asciiTheme="minorHAnsi" w:hAnsiTheme="minorHAnsi" w:cstheme="minorHAnsi"/>
          <w:color w:val="240B14"/>
        </w:rPr>
        <w:t xml:space="preserve"> price  index between February 1 to January 31 each year but it is not awarded until January 1st the next year. </w:t>
      </w:r>
      <w:proofErr w:type="gramStart"/>
      <w:r w:rsidRPr="002B7B2E">
        <w:rPr>
          <w:rFonts w:asciiTheme="minorHAnsi" w:hAnsiTheme="minorHAnsi" w:cstheme="minorHAnsi"/>
          <w:color w:val="240B14"/>
        </w:rPr>
        <w:t>.For</w:t>
      </w:r>
      <w:proofErr w:type="gramEnd"/>
      <w:r w:rsidRPr="002B7B2E">
        <w:rPr>
          <w:rFonts w:asciiTheme="minorHAnsi" w:hAnsiTheme="minorHAnsi" w:cstheme="minorHAnsi"/>
          <w:color w:val="240B14"/>
        </w:rPr>
        <w:t xml:space="preserve"> </w:t>
      </w:r>
      <w:proofErr w:type="spellStart"/>
      <w:r w:rsidRPr="002B7B2E">
        <w:rPr>
          <w:rFonts w:asciiTheme="minorHAnsi" w:hAnsiTheme="minorHAnsi" w:cstheme="minorHAnsi"/>
          <w:color w:val="240B14"/>
        </w:rPr>
        <w:t>example,on</w:t>
      </w:r>
      <w:proofErr w:type="spellEnd"/>
      <w:r w:rsidRPr="002B7B2E">
        <w:rPr>
          <w:rFonts w:asciiTheme="minorHAnsi" w:hAnsiTheme="minorHAnsi" w:cstheme="minorHAnsi"/>
          <w:color w:val="240B14"/>
        </w:rPr>
        <w:t xml:space="preserve"> January 1 ,2023 our pension was increased by 3.74 %.</w:t>
      </w:r>
      <w:r w:rsidRPr="002B7B2E">
        <w:rPr>
          <w:rFonts w:asciiTheme="minorHAnsi" w:hAnsiTheme="minorHAnsi" w:cstheme="minorHAnsi"/>
          <w:color w:val="240B14"/>
        </w:rPr>
        <w:t xml:space="preserve"> </w:t>
      </w:r>
      <w:r w:rsidRPr="002B7B2E">
        <w:rPr>
          <w:rFonts w:asciiTheme="minorHAnsi" w:hAnsiTheme="minorHAnsi" w:cstheme="minorHAnsi"/>
          <w:color w:val="240B14"/>
        </w:rPr>
        <w:t>It w</w:t>
      </w:r>
      <w:r w:rsidRPr="002B7B2E">
        <w:rPr>
          <w:rFonts w:asciiTheme="minorHAnsi" w:hAnsiTheme="minorHAnsi" w:cstheme="minorHAnsi"/>
          <w:color w:val="240B14"/>
        </w:rPr>
        <w:t>as</w:t>
      </w:r>
      <w:r w:rsidRPr="002B7B2E">
        <w:rPr>
          <w:rFonts w:asciiTheme="minorHAnsi" w:hAnsiTheme="minorHAnsi" w:cstheme="minorHAnsi"/>
          <w:color w:val="240B14"/>
        </w:rPr>
        <w:t xml:space="preserve"> based on the consumer price index change between February1,</w:t>
      </w:r>
      <w:r w:rsidRPr="002B7B2E">
        <w:rPr>
          <w:rFonts w:asciiTheme="minorHAnsi" w:hAnsiTheme="minorHAnsi" w:cstheme="minorHAnsi"/>
          <w:color w:val="240B14"/>
        </w:rPr>
        <w:t xml:space="preserve"> </w:t>
      </w:r>
      <w:r w:rsidRPr="002B7B2E">
        <w:rPr>
          <w:rFonts w:asciiTheme="minorHAnsi" w:hAnsiTheme="minorHAnsi" w:cstheme="minorHAnsi"/>
          <w:color w:val="240B14"/>
        </w:rPr>
        <w:t>2021 to January 31,</w:t>
      </w:r>
      <w:r w:rsidRPr="002B7B2E">
        <w:rPr>
          <w:rFonts w:asciiTheme="minorHAnsi" w:hAnsiTheme="minorHAnsi" w:cstheme="minorHAnsi"/>
          <w:color w:val="240B14"/>
        </w:rPr>
        <w:t xml:space="preserve"> </w:t>
      </w:r>
      <w:r w:rsidRPr="002B7B2E">
        <w:rPr>
          <w:rFonts w:asciiTheme="minorHAnsi" w:hAnsiTheme="minorHAnsi" w:cstheme="minorHAnsi"/>
          <w:color w:val="240B14"/>
        </w:rPr>
        <w:t>2022.so there is a lag of a year.</w:t>
      </w:r>
      <w:r w:rsidRPr="002B7B2E">
        <w:rPr>
          <w:rFonts w:asciiTheme="minorHAnsi" w:hAnsiTheme="minorHAnsi" w:cstheme="minorHAnsi"/>
          <w:color w:val="240B14"/>
        </w:rPr>
        <w:t xml:space="preserve">  </w:t>
      </w:r>
      <w:r w:rsidRPr="002B7B2E">
        <w:rPr>
          <w:rFonts w:asciiTheme="minorHAnsi" w:hAnsiTheme="minorHAnsi" w:cstheme="minorHAnsi"/>
          <w:color w:val="240B14"/>
        </w:rPr>
        <w:t xml:space="preserve">Based on this calculation the increase on January 1 2024 </w:t>
      </w:r>
      <w:proofErr w:type="gramStart"/>
      <w:r w:rsidRPr="002B7B2E">
        <w:rPr>
          <w:rFonts w:asciiTheme="minorHAnsi" w:hAnsiTheme="minorHAnsi" w:cstheme="minorHAnsi"/>
          <w:color w:val="240B14"/>
        </w:rPr>
        <w:t>should  be</w:t>
      </w:r>
      <w:proofErr w:type="gramEnd"/>
      <w:r w:rsidRPr="002B7B2E">
        <w:rPr>
          <w:rFonts w:asciiTheme="minorHAnsi" w:hAnsiTheme="minorHAnsi" w:cstheme="minorHAnsi"/>
          <w:color w:val="240B14"/>
        </w:rPr>
        <w:t xml:space="preserve"> around 6.85 if the plan is funded over 110% on March 31,2023</w:t>
      </w:r>
      <w:r w:rsidRPr="002B7B2E">
        <w:rPr>
          <w:rFonts w:asciiTheme="minorHAnsi" w:hAnsiTheme="minorHAnsi" w:cstheme="minorHAnsi"/>
          <w:color w:val="240B14"/>
        </w:rPr>
        <w:t xml:space="preserve">.  </w:t>
      </w:r>
      <w:r w:rsidR="00B10B37" w:rsidRPr="002B7B2E">
        <w:rPr>
          <w:rFonts w:asciiTheme="minorHAnsi" w:hAnsiTheme="minorHAnsi" w:cstheme="minorHAnsi"/>
          <w:color w:val="240B14"/>
        </w:rPr>
        <w:t>Funding is only available if the basic plan is 110% funded – currently it is 125% funded.</w:t>
      </w:r>
    </w:p>
    <w:p w14:paraId="7F09D2AB" w14:textId="5C6938F7" w:rsidR="00021958" w:rsidRDefault="00021958">
      <w:pPr>
        <w:rPr>
          <w:rFonts w:cstheme="minorHAnsi"/>
          <w:b/>
          <w:bCs/>
          <w:sz w:val="24"/>
          <w:szCs w:val="24"/>
        </w:rPr>
      </w:pPr>
      <w:r w:rsidRPr="00BE0193">
        <w:rPr>
          <w:rFonts w:cstheme="minorHAnsi"/>
          <w:b/>
          <w:bCs/>
          <w:sz w:val="24"/>
          <w:szCs w:val="24"/>
        </w:rPr>
        <w:t>Ne</w:t>
      </w:r>
      <w:r w:rsidR="00BE0193">
        <w:rPr>
          <w:rFonts w:cstheme="minorHAnsi"/>
          <w:b/>
          <w:bCs/>
          <w:sz w:val="24"/>
          <w:szCs w:val="24"/>
        </w:rPr>
        <w:t>w</w:t>
      </w:r>
      <w:r w:rsidRPr="00BE0193">
        <w:rPr>
          <w:rFonts w:cstheme="minorHAnsi"/>
          <w:b/>
          <w:bCs/>
          <w:sz w:val="24"/>
          <w:szCs w:val="24"/>
        </w:rPr>
        <w:t xml:space="preserve">foundland and </w:t>
      </w:r>
      <w:r w:rsidR="00BE0193" w:rsidRPr="00BE0193">
        <w:rPr>
          <w:rFonts w:cstheme="minorHAnsi"/>
          <w:b/>
          <w:bCs/>
          <w:sz w:val="24"/>
          <w:szCs w:val="24"/>
        </w:rPr>
        <w:t>Labrador</w:t>
      </w:r>
    </w:p>
    <w:p w14:paraId="4BBB4B26" w14:textId="47D82431" w:rsidR="005030F2" w:rsidRPr="002B7B2E" w:rsidRDefault="00201FD8" w:rsidP="002B7B2E">
      <w:pPr>
        <w:pStyle w:val="NormalWeb"/>
        <w:shd w:val="clear" w:color="auto" w:fill="F7F7F7"/>
        <w:spacing w:before="0" w:beforeAutospacing="0"/>
        <w:rPr>
          <w:rFonts w:asciiTheme="minorHAnsi" w:hAnsiTheme="minorHAnsi" w:cstheme="minorHAnsi"/>
          <w:color w:val="240B14"/>
        </w:rPr>
      </w:pPr>
      <w:r w:rsidRPr="002B7B2E">
        <w:rPr>
          <w:rFonts w:asciiTheme="minorHAnsi" w:hAnsiTheme="minorHAnsi" w:cstheme="minorHAnsi"/>
          <w:color w:val="240B14"/>
        </w:rPr>
        <w:t>A partial indexer became available in September 2002 only for those pensioners whose pension benefits are integrated with CPP. Integration is applicable to all members contributing to the Teachers’ Pension Plan since 1998. Each September following the member’s 65th birthday, the annual pension will be increased by 60 percent of the Consumer Price Index (CPI), to a maximum of 1.2 percent, for all pensioners and survivors whose benefits are integrated with CPP on all service accrued prior to September 1, 2015. Future indexing accrual is suspended effective September 1, 2015.</w:t>
      </w:r>
    </w:p>
    <w:p w14:paraId="49F1584C" w14:textId="11B1BA4C" w:rsidR="00201FD8" w:rsidRPr="005030F2" w:rsidRDefault="00201FD8" w:rsidP="00201FD8">
      <w:pPr>
        <w:rPr>
          <w:rFonts w:cstheme="minorHAnsi"/>
          <w:sz w:val="24"/>
          <w:szCs w:val="24"/>
        </w:rPr>
      </w:pPr>
      <w:r w:rsidRPr="00201FD8">
        <w:rPr>
          <w:rFonts w:cstheme="minorHAnsi"/>
          <w:sz w:val="24"/>
          <w:szCs w:val="24"/>
        </w:rPr>
        <w:t>https://www.nlta.nl.ca/infosheet-3/</w:t>
      </w:r>
    </w:p>
    <w:sectPr w:rsidR="00201FD8" w:rsidRPr="00503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579"/>
    <w:multiLevelType w:val="multilevel"/>
    <w:tmpl w:val="5CD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10D87"/>
    <w:multiLevelType w:val="multilevel"/>
    <w:tmpl w:val="3F8E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AA78F1"/>
    <w:multiLevelType w:val="hybridMultilevel"/>
    <w:tmpl w:val="46E66A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D16220D"/>
    <w:multiLevelType w:val="multilevel"/>
    <w:tmpl w:val="EE8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5507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026660">
    <w:abstractNumId w:val="0"/>
  </w:num>
  <w:num w:numId="3" w16cid:durableId="613025885">
    <w:abstractNumId w:val="3"/>
  </w:num>
  <w:num w:numId="4" w16cid:durableId="482815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8"/>
    <w:rsid w:val="00021958"/>
    <w:rsid w:val="000571F9"/>
    <w:rsid w:val="00201FD8"/>
    <w:rsid w:val="002B7B2E"/>
    <w:rsid w:val="004F6358"/>
    <w:rsid w:val="005030F2"/>
    <w:rsid w:val="00871057"/>
    <w:rsid w:val="00887416"/>
    <w:rsid w:val="00997BCB"/>
    <w:rsid w:val="00A108E4"/>
    <w:rsid w:val="00A761C4"/>
    <w:rsid w:val="00AA7BBF"/>
    <w:rsid w:val="00AB1A23"/>
    <w:rsid w:val="00B10B37"/>
    <w:rsid w:val="00BE0193"/>
    <w:rsid w:val="00BE6B45"/>
    <w:rsid w:val="00C048D3"/>
    <w:rsid w:val="00EF7BC4"/>
    <w:rsid w:val="00FD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DC9A"/>
  <w15:chartTrackingRefBased/>
  <w15:docId w15:val="{530C967A-29FA-47F4-A2F4-2E77A272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58"/>
    <w:pPr>
      <w:spacing w:after="0" w:line="240" w:lineRule="auto"/>
      <w:ind w:left="720"/>
      <w:contextualSpacing/>
    </w:pPr>
  </w:style>
  <w:style w:type="paragraph" w:styleId="NormalWeb">
    <w:name w:val="Normal (Web)"/>
    <w:basedOn w:val="Normal"/>
    <w:uiPriority w:val="99"/>
    <w:unhideWhenUsed/>
    <w:rsid w:val="00C048D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t-2">
    <w:name w:val="mt-2"/>
    <w:basedOn w:val="Normal"/>
    <w:uiPriority w:val="99"/>
    <w:semiHidden/>
    <w:rsid w:val="008874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b-2">
    <w:name w:val="mb-2"/>
    <w:basedOn w:val="Normal"/>
    <w:uiPriority w:val="99"/>
    <w:semiHidden/>
    <w:rsid w:val="008874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87416"/>
    <w:rPr>
      <w:b/>
      <w:bCs/>
    </w:rPr>
  </w:style>
  <w:style w:type="character" w:styleId="Hyperlink">
    <w:name w:val="Hyperlink"/>
    <w:basedOn w:val="DefaultParagraphFont"/>
    <w:uiPriority w:val="99"/>
    <w:semiHidden/>
    <w:unhideWhenUsed/>
    <w:rsid w:val="00EF7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042">
      <w:bodyDiv w:val="1"/>
      <w:marLeft w:val="0"/>
      <w:marRight w:val="0"/>
      <w:marTop w:val="0"/>
      <w:marBottom w:val="0"/>
      <w:divBdr>
        <w:top w:val="none" w:sz="0" w:space="0" w:color="auto"/>
        <w:left w:val="none" w:sz="0" w:space="0" w:color="auto"/>
        <w:bottom w:val="none" w:sz="0" w:space="0" w:color="auto"/>
        <w:right w:val="none" w:sz="0" w:space="0" w:color="auto"/>
      </w:divBdr>
    </w:div>
    <w:div w:id="37896884">
      <w:bodyDiv w:val="1"/>
      <w:marLeft w:val="0"/>
      <w:marRight w:val="0"/>
      <w:marTop w:val="0"/>
      <w:marBottom w:val="0"/>
      <w:divBdr>
        <w:top w:val="none" w:sz="0" w:space="0" w:color="auto"/>
        <w:left w:val="none" w:sz="0" w:space="0" w:color="auto"/>
        <w:bottom w:val="none" w:sz="0" w:space="0" w:color="auto"/>
        <w:right w:val="none" w:sz="0" w:space="0" w:color="auto"/>
      </w:divBdr>
      <w:divsChild>
        <w:div w:id="99685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387726">
              <w:marLeft w:val="0"/>
              <w:marRight w:val="0"/>
              <w:marTop w:val="0"/>
              <w:marBottom w:val="0"/>
              <w:divBdr>
                <w:top w:val="none" w:sz="0" w:space="0" w:color="auto"/>
                <w:left w:val="none" w:sz="0" w:space="0" w:color="auto"/>
                <w:bottom w:val="none" w:sz="0" w:space="0" w:color="auto"/>
                <w:right w:val="none" w:sz="0" w:space="0" w:color="auto"/>
              </w:divBdr>
              <w:divsChild>
                <w:div w:id="1816336365">
                  <w:marLeft w:val="0"/>
                  <w:marRight w:val="0"/>
                  <w:marTop w:val="0"/>
                  <w:marBottom w:val="0"/>
                  <w:divBdr>
                    <w:top w:val="none" w:sz="0" w:space="0" w:color="auto"/>
                    <w:left w:val="none" w:sz="0" w:space="0" w:color="auto"/>
                    <w:bottom w:val="none" w:sz="0" w:space="0" w:color="auto"/>
                    <w:right w:val="none" w:sz="0" w:space="0" w:color="auto"/>
                  </w:divBdr>
                  <w:divsChild>
                    <w:div w:id="2081830954">
                      <w:marLeft w:val="0"/>
                      <w:marRight w:val="0"/>
                      <w:marTop w:val="0"/>
                      <w:marBottom w:val="0"/>
                      <w:divBdr>
                        <w:top w:val="none" w:sz="0" w:space="0" w:color="auto"/>
                        <w:left w:val="none" w:sz="0" w:space="0" w:color="auto"/>
                        <w:bottom w:val="none" w:sz="0" w:space="0" w:color="auto"/>
                        <w:right w:val="none" w:sz="0" w:space="0" w:color="auto"/>
                      </w:divBdr>
                    </w:div>
                    <w:div w:id="1029186991">
                      <w:marLeft w:val="0"/>
                      <w:marRight w:val="0"/>
                      <w:marTop w:val="0"/>
                      <w:marBottom w:val="0"/>
                      <w:divBdr>
                        <w:top w:val="none" w:sz="0" w:space="0" w:color="auto"/>
                        <w:left w:val="none" w:sz="0" w:space="0" w:color="auto"/>
                        <w:bottom w:val="none" w:sz="0" w:space="0" w:color="auto"/>
                        <w:right w:val="none" w:sz="0" w:space="0" w:color="auto"/>
                      </w:divBdr>
                    </w:div>
                    <w:div w:id="974532803">
                      <w:marLeft w:val="0"/>
                      <w:marRight w:val="0"/>
                      <w:marTop w:val="0"/>
                      <w:marBottom w:val="0"/>
                      <w:divBdr>
                        <w:top w:val="none" w:sz="0" w:space="0" w:color="auto"/>
                        <w:left w:val="none" w:sz="0" w:space="0" w:color="auto"/>
                        <w:bottom w:val="none" w:sz="0" w:space="0" w:color="auto"/>
                        <w:right w:val="none" w:sz="0" w:space="0" w:color="auto"/>
                      </w:divBdr>
                    </w:div>
                    <w:div w:id="782581412">
                      <w:marLeft w:val="0"/>
                      <w:marRight w:val="0"/>
                      <w:marTop w:val="0"/>
                      <w:marBottom w:val="0"/>
                      <w:divBdr>
                        <w:top w:val="none" w:sz="0" w:space="0" w:color="auto"/>
                        <w:left w:val="none" w:sz="0" w:space="0" w:color="auto"/>
                        <w:bottom w:val="none" w:sz="0" w:space="0" w:color="auto"/>
                        <w:right w:val="none" w:sz="0" w:space="0" w:color="auto"/>
                      </w:divBdr>
                    </w:div>
                    <w:div w:id="11903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02089">
      <w:bodyDiv w:val="1"/>
      <w:marLeft w:val="0"/>
      <w:marRight w:val="0"/>
      <w:marTop w:val="0"/>
      <w:marBottom w:val="0"/>
      <w:divBdr>
        <w:top w:val="none" w:sz="0" w:space="0" w:color="auto"/>
        <w:left w:val="none" w:sz="0" w:space="0" w:color="auto"/>
        <w:bottom w:val="none" w:sz="0" w:space="0" w:color="auto"/>
        <w:right w:val="none" w:sz="0" w:space="0" w:color="auto"/>
      </w:divBdr>
    </w:div>
    <w:div w:id="1120799563">
      <w:bodyDiv w:val="1"/>
      <w:marLeft w:val="0"/>
      <w:marRight w:val="0"/>
      <w:marTop w:val="0"/>
      <w:marBottom w:val="0"/>
      <w:divBdr>
        <w:top w:val="none" w:sz="0" w:space="0" w:color="auto"/>
        <w:left w:val="none" w:sz="0" w:space="0" w:color="auto"/>
        <w:bottom w:val="none" w:sz="0" w:space="0" w:color="auto"/>
        <w:right w:val="none" w:sz="0" w:space="0" w:color="auto"/>
      </w:divBdr>
      <w:divsChild>
        <w:div w:id="142221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89113">
              <w:marLeft w:val="0"/>
              <w:marRight w:val="0"/>
              <w:marTop w:val="0"/>
              <w:marBottom w:val="0"/>
              <w:divBdr>
                <w:top w:val="none" w:sz="0" w:space="0" w:color="auto"/>
                <w:left w:val="none" w:sz="0" w:space="0" w:color="auto"/>
                <w:bottom w:val="none" w:sz="0" w:space="0" w:color="auto"/>
                <w:right w:val="none" w:sz="0" w:space="0" w:color="auto"/>
              </w:divBdr>
              <w:divsChild>
                <w:div w:id="895898368">
                  <w:marLeft w:val="0"/>
                  <w:marRight w:val="0"/>
                  <w:marTop w:val="0"/>
                  <w:marBottom w:val="0"/>
                  <w:divBdr>
                    <w:top w:val="none" w:sz="0" w:space="0" w:color="auto"/>
                    <w:left w:val="none" w:sz="0" w:space="0" w:color="auto"/>
                    <w:bottom w:val="none" w:sz="0" w:space="0" w:color="auto"/>
                    <w:right w:val="none" w:sz="0" w:space="0" w:color="auto"/>
                  </w:divBdr>
                  <w:divsChild>
                    <w:div w:id="3286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1041">
      <w:bodyDiv w:val="1"/>
      <w:marLeft w:val="0"/>
      <w:marRight w:val="0"/>
      <w:marTop w:val="0"/>
      <w:marBottom w:val="0"/>
      <w:divBdr>
        <w:top w:val="none" w:sz="0" w:space="0" w:color="auto"/>
        <w:left w:val="none" w:sz="0" w:space="0" w:color="auto"/>
        <w:bottom w:val="none" w:sz="0" w:space="0" w:color="auto"/>
        <w:right w:val="none" w:sz="0" w:space="0" w:color="auto"/>
      </w:divBdr>
      <w:divsChild>
        <w:div w:id="49245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569810">
              <w:marLeft w:val="0"/>
              <w:marRight w:val="0"/>
              <w:marTop w:val="0"/>
              <w:marBottom w:val="0"/>
              <w:divBdr>
                <w:top w:val="none" w:sz="0" w:space="0" w:color="auto"/>
                <w:left w:val="none" w:sz="0" w:space="0" w:color="auto"/>
                <w:bottom w:val="none" w:sz="0" w:space="0" w:color="auto"/>
                <w:right w:val="none" w:sz="0" w:space="0" w:color="auto"/>
              </w:divBdr>
              <w:divsChild>
                <w:div w:id="1276714005">
                  <w:marLeft w:val="0"/>
                  <w:marRight w:val="0"/>
                  <w:marTop w:val="0"/>
                  <w:marBottom w:val="0"/>
                  <w:divBdr>
                    <w:top w:val="none" w:sz="0" w:space="0" w:color="auto"/>
                    <w:left w:val="none" w:sz="0" w:space="0" w:color="auto"/>
                    <w:bottom w:val="none" w:sz="0" w:space="0" w:color="auto"/>
                    <w:right w:val="none" w:sz="0" w:space="0" w:color="auto"/>
                  </w:divBdr>
                  <w:divsChild>
                    <w:div w:id="746927333">
                      <w:marLeft w:val="0"/>
                      <w:marRight w:val="0"/>
                      <w:marTop w:val="0"/>
                      <w:marBottom w:val="0"/>
                      <w:divBdr>
                        <w:top w:val="none" w:sz="0" w:space="0" w:color="auto"/>
                        <w:left w:val="none" w:sz="0" w:space="0" w:color="auto"/>
                        <w:bottom w:val="none" w:sz="0" w:space="0" w:color="auto"/>
                        <w:right w:val="none" w:sz="0" w:space="0" w:color="auto"/>
                      </w:divBdr>
                      <w:divsChild>
                        <w:div w:id="227959182">
                          <w:marLeft w:val="0"/>
                          <w:marRight w:val="0"/>
                          <w:marTop w:val="0"/>
                          <w:marBottom w:val="0"/>
                          <w:divBdr>
                            <w:top w:val="none" w:sz="0" w:space="0" w:color="auto"/>
                            <w:left w:val="none" w:sz="0" w:space="0" w:color="auto"/>
                            <w:bottom w:val="none" w:sz="0" w:space="0" w:color="auto"/>
                            <w:right w:val="none" w:sz="0" w:space="0" w:color="auto"/>
                          </w:divBdr>
                          <w:divsChild>
                            <w:div w:id="2124764009">
                              <w:marLeft w:val="0"/>
                              <w:marRight w:val="0"/>
                              <w:marTop w:val="0"/>
                              <w:marBottom w:val="0"/>
                              <w:divBdr>
                                <w:top w:val="none" w:sz="0" w:space="0" w:color="auto"/>
                                <w:left w:val="none" w:sz="0" w:space="0" w:color="auto"/>
                                <w:bottom w:val="none" w:sz="0" w:space="0" w:color="auto"/>
                                <w:right w:val="none" w:sz="0" w:space="0" w:color="auto"/>
                              </w:divBdr>
                              <w:divsChild>
                                <w:div w:id="209289354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4137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10010">
      <w:bodyDiv w:val="1"/>
      <w:marLeft w:val="0"/>
      <w:marRight w:val="0"/>
      <w:marTop w:val="0"/>
      <w:marBottom w:val="0"/>
      <w:divBdr>
        <w:top w:val="none" w:sz="0" w:space="0" w:color="auto"/>
        <w:left w:val="none" w:sz="0" w:space="0" w:color="auto"/>
        <w:bottom w:val="none" w:sz="0" w:space="0" w:color="auto"/>
        <w:right w:val="none" w:sz="0" w:space="0" w:color="auto"/>
      </w:divBdr>
    </w:div>
    <w:div w:id="1555384164">
      <w:bodyDiv w:val="1"/>
      <w:marLeft w:val="0"/>
      <w:marRight w:val="0"/>
      <w:marTop w:val="0"/>
      <w:marBottom w:val="0"/>
      <w:divBdr>
        <w:top w:val="none" w:sz="0" w:space="0" w:color="auto"/>
        <w:left w:val="none" w:sz="0" w:space="0" w:color="auto"/>
        <w:bottom w:val="none" w:sz="0" w:space="0" w:color="auto"/>
        <w:right w:val="none" w:sz="0" w:space="0" w:color="auto"/>
      </w:divBdr>
    </w:div>
    <w:div w:id="1974285842">
      <w:bodyDiv w:val="1"/>
      <w:marLeft w:val="0"/>
      <w:marRight w:val="0"/>
      <w:marTop w:val="0"/>
      <w:marBottom w:val="0"/>
      <w:divBdr>
        <w:top w:val="none" w:sz="0" w:space="0" w:color="auto"/>
        <w:left w:val="none" w:sz="0" w:space="0" w:color="auto"/>
        <w:bottom w:val="none" w:sz="0" w:space="0" w:color="auto"/>
        <w:right w:val="none" w:sz="0" w:space="0" w:color="auto"/>
      </w:divBdr>
      <w:divsChild>
        <w:div w:id="110364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36111">
              <w:marLeft w:val="0"/>
              <w:marRight w:val="0"/>
              <w:marTop w:val="0"/>
              <w:marBottom w:val="0"/>
              <w:divBdr>
                <w:top w:val="none" w:sz="0" w:space="0" w:color="auto"/>
                <w:left w:val="none" w:sz="0" w:space="0" w:color="auto"/>
                <w:bottom w:val="none" w:sz="0" w:space="0" w:color="auto"/>
                <w:right w:val="none" w:sz="0" w:space="0" w:color="auto"/>
              </w:divBdr>
              <w:divsChild>
                <w:div w:id="1778089235">
                  <w:marLeft w:val="0"/>
                  <w:marRight w:val="0"/>
                  <w:marTop w:val="0"/>
                  <w:marBottom w:val="0"/>
                  <w:divBdr>
                    <w:top w:val="none" w:sz="0" w:space="0" w:color="auto"/>
                    <w:left w:val="none" w:sz="0" w:space="0" w:color="auto"/>
                    <w:bottom w:val="none" w:sz="0" w:space="0" w:color="auto"/>
                    <w:right w:val="none" w:sz="0" w:space="0" w:color="auto"/>
                  </w:divBdr>
                  <w:divsChild>
                    <w:div w:id="18574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eq.lacsq.org/retraite-quebec-taux-dindexation-au-montant-de-la-rente-du-regime-de-rentes-du-quebec-rrq-pour-2023/202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Gerry Tiede</cp:lastModifiedBy>
  <cp:revision>6</cp:revision>
  <cp:lastPrinted>2023-02-24T21:52:00Z</cp:lastPrinted>
  <dcterms:created xsi:type="dcterms:W3CDTF">2023-02-27T21:37:00Z</dcterms:created>
  <dcterms:modified xsi:type="dcterms:W3CDTF">2023-03-16T20:29:00Z</dcterms:modified>
</cp:coreProperties>
</file>