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5E" w:rsidRDefault="00417C5E" w:rsidP="00E27E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HEALTH COMMITTEE REPORT</w:t>
      </w:r>
      <w:r w:rsidR="00E27EF9">
        <w:rPr>
          <w:rFonts w:ascii="Arial" w:hAnsi="Arial" w:cs="Arial"/>
          <w:b/>
          <w:sz w:val="32"/>
          <w:szCs w:val="32"/>
        </w:rPr>
        <w:t xml:space="preserve"> - </w:t>
      </w:r>
      <w:r w:rsidR="00A446EC">
        <w:rPr>
          <w:rFonts w:ascii="Arial" w:hAnsi="Arial" w:cs="Arial"/>
          <w:b/>
          <w:sz w:val="32"/>
          <w:szCs w:val="32"/>
        </w:rPr>
        <w:t>MARCH</w:t>
      </w:r>
      <w:r>
        <w:rPr>
          <w:rFonts w:ascii="Arial" w:hAnsi="Arial" w:cs="Arial"/>
          <w:b/>
          <w:sz w:val="32"/>
          <w:szCs w:val="32"/>
        </w:rPr>
        <w:t xml:space="preserve"> 2019</w:t>
      </w:r>
    </w:p>
    <w:p w:rsidR="00A446EC" w:rsidRDefault="00A446EC" w:rsidP="00417C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the January 2019 conference call the focus has been on preparing the overview of the bilateral federal/provincial/territorial health agreements.  Thanks to JoAnn Lauber for her work in developing a template and approach to collecting details pertinent in particular to seniors.</w:t>
      </w:r>
    </w:p>
    <w:p w:rsidR="00A446EC" w:rsidRDefault="00E27EF9" w:rsidP="00417C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446EC">
        <w:rPr>
          <w:rFonts w:ascii="Arial" w:hAnsi="Arial" w:cs="Arial"/>
          <w:sz w:val="24"/>
          <w:szCs w:val="24"/>
        </w:rPr>
        <w:t xml:space="preserve"> better understanding of the </w:t>
      </w:r>
      <w:r>
        <w:rPr>
          <w:rFonts w:ascii="Arial" w:hAnsi="Arial" w:cs="Arial"/>
          <w:sz w:val="24"/>
          <w:szCs w:val="24"/>
        </w:rPr>
        <w:t xml:space="preserve">jurisdictional </w:t>
      </w:r>
      <w:r w:rsidR="00A446EC">
        <w:rPr>
          <w:rFonts w:ascii="Arial" w:hAnsi="Arial" w:cs="Arial"/>
          <w:sz w:val="24"/>
          <w:szCs w:val="24"/>
        </w:rPr>
        <w:t>challenges and approaches became evident, as did some of the similarities</w:t>
      </w:r>
      <w:r w:rsidR="00B25022">
        <w:rPr>
          <w:rFonts w:ascii="Arial" w:hAnsi="Arial" w:cs="Arial"/>
          <w:sz w:val="24"/>
          <w:szCs w:val="24"/>
        </w:rPr>
        <w:t>,</w:t>
      </w:r>
      <w:r w:rsidR="00A446EC">
        <w:rPr>
          <w:rFonts w:ascii="Arial" w:hAnsi="Arial" w:cs="Arial"/>
          <w:sz w:val="24"/>
          <w:szCs w:val="24"/>
        </w:rPr>
        <w:t xml:space="preserve"> in the process of going through each agreement.  While not fully completed and “prettie</w:t>
      </w:r>
      <w:bookmarkStart w:id="0" w:name="_GoBack"/>
      <w:bookmarkEnd w:id="0"/>
      <w:r w:rsidR="00A446EC">
        <w:rPr>
          <w:rFonts w:ascii="Arial" w:hAnsi="Arial" w:cs="Arial"/>
          <w:sz w:val="24"/>
          <w:szCs w:val="24"/>
        </w:rPr>
        <w:t xml:space="preserve">d up” for </w:t>
      </w:r>
      <w:r>
        <w:rPr>
          <w:rFonts w:ascii="Arial" w:hAnsi="Arial" w:cs="Arial"/>
          <w:sz w:val="24"/>
          <w:szCs w:val="24"/>
        </w:rPr>
        <w:t xml:space="preserve">AGM </w:t>
      </w:r>
      <w:r w:rsidR="00A446EC">
        <w:rPr>
          <w:rFonts w:ascii="Arial" w:hAnsi="Arial" w:cs="Arial"/>
          <w:sz w:val="24"/>
          <w:szCs w:val="24"/>
        </w:rPr>
        <w:t>sharing, what has been done to date is part of this report.</w:t>
      </w:r>
    </w:p>
    <w:p w:rsidR="00A446EC" w:rsidRDefault="00DB182F" w:rsidP="00417C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446EC">
        <w:rPr>
          <w:rFonts w:ascii="Arial" w:hAnsi="Arial" w:cs="Arial"/>
          <w:sz w:val="24"/>
          <w:szCs w:val="24"/>
        </w:rPr>
        <w:t xml:space="preserve">he interim report on </w:t>
      </w:r>
      <w:proofErr w:type="spellStart"/>
      <w:r w:rsidR="00A446EC">
        <w:rPr>
          <w:rFonts w:ascii="Arial" w:hAnsi="Arial" w:cs="Arial"/>
          <w:sz w:val="24"/>
          <w:szCs w:val="24"/>
        </w:rPr>
        <w:t>pharmacare</w:t>
      </w:r>
      <w:proofErr w:type="spellEnd"/>
      <w:r w:rsidR="00A446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held</w:t>
      </w:r>
      <w:r w:rsidR="00A446EC">
        <w:rPr>
          <w:rFonts w:ascii="Arial" w:hAnsi="Arial" w:cs="Arial"/>
          <w:sz w:val="24"/>
          <w:szCs w:val="24"/>
        </w:rPr>
        <w:t xml:space="preserve"> some promising statements; however </w:t>
      </w:r>
      <w:r>
        <w:rPr>
          <w:rFonts w:ascii="Arial" w:hAnsi="Arial" w:cs="Arial"/>
          <w:sz w:val="24"/>
          <w:szCs w:val="24"/>
        </w:rPr>
        <w:t xml:space="preserve">there were </w:t>
      </w:r>
      <w:r w:rsidR="00A446EC">
        <w:rPr>
          <w:rFonts w:ascii="Arial" w:hAnsi="Arial" w:cs="Arial"/>
          <w:sz w:val="24"/>
          <w:szCs w:val="24"/>
        </w:rPr>
        <w:t>significant omissions</w:t>
      </w:r>
      <w:r w:rsidR="002938B6">
        <w:rPr>
          <w:rFonts w:ascii="Arial" w:hAnsi="Arial" w:cs="Arial"/>
          <w:sz w:val="24"/>
          <w:szCs w:val="24"/>
        </w:rPr>
        <w:t>.   M</w:t>
      </w:r>
      <w:r w:rsidR="00A446EC">
        <w:rPr>
          <w:rFonts w:ascii="Arial" w:hAnsi="Arial" w:cs="Arial"/>
          <w:sz w:val="24"/>
          <w:szCs w:val="24"/>
        </w:rPr>
        <w:t>uch remains to be seen.  It may be the federal b</w:t>
      </w:r>
      <w:r w:rsidR="00B25022">
        <w:rPr>
          <w:rFonts w:ascii="Arial" w:hAnsi="Arial" w:cs="Arial"/>
          <w:sz w:val="24"/>
          <w:szCs w:val="24"/>
        </w:rPr>
        <w:t xml:space="preserve">udget will provide some insight, however the concern that a “fill the gaps” remains.  It is </w:t>
      </w:r>
      <w:r w:rsidR="00B25022" w:rsidRPr="00B25022">
        <w:rPr>
          <w:rFonts w:ascii="Arial" w:hAnsi="Arial" w:cs="Arial"/>
          <w:b/>
          <w:sz w:val="24"/>
          <w:szCs w:val="24"/>
        </w:rPr>
        <w:t>recommended</w:t>
      </w:r>
      <w:r w:rsidR="00B25022">
        <w:rPr>
          <w:rFonts w:ascii="Arial" w:hAnsi="Arial" w:cs="Arial"/>
          <w:sz w:val="24"/>
          <w:szCs w:val="24"/>
        </w:rPr>
        <w:t xml:space="preserve"> that after the budget we send member organizations a copy of the interim report and information, if any, from the budget.</w:t>
      </w:r>
    </w:p>
    <w:p w:rsidR="00A446EC" w:rsidRPr="00A446EC" w:rsidRDefault="00A446EC" w:rsidP="00417C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mentioned in an earlier email consideration to having someone from the Canadian Institutes for Health</w:t>
      </w:r>
      <w:r w:rsidR="003001D8">
        <w:rPr>
          <w:rFonts w:ascii="Arial" w:hAnsi="Arial" w:cs="Arial"/>
          <w:sz w:val="24"/>
          <w:szCs w:val="24"/>
        </w:rPr>
        <w:t xml:space="preserve"> speak at the AGM may have merit, again reinforcing the importance of health care in the upcoming election</w:t>
      </w:r>
      <w:r w:rsidR="00B25022">
        <w:rPr>
          <w:rFonts w:ascii="Arial" w:hAnsi="Arial" w:cs="Arial"/>
          <w:sz w:val="24"/>
          <w:szCs w:val="24"/>
        </w:rPr>
        <w:t>, as it is that organization with which the provinces/territories ha</w:t>
      </w:r>
      <w:r w:rsidR="00E27EF9">
        <w:rPr>
          <w:rFonts w:ascii="Arial" w:hAnsi="Arial" w:cs="Arial"/>
          <w:sz w:val="24"/>
          <w:szCs w:val="24"/>
        </w:rPr>
        <w:t>d</w:t>
      </w:r>
      <w:r w:rsidR="00B25022">
        <w:rPr>
          <w:rFonts w:ascii="Arial" w:hAnsi="Arial" w:cs="Arial"/>
          <w:sz w:val="24"/>
          <w:szCs w:val="24"/>
        </w:rPr>
        <w:t xml:space="preserve"> to work to develop common indicators and </w:t>
      </w:r>
      <w:r w:rsidR="00E27EF9">
        <w:rPr>
          <w:rFonts w:ascii="Arial" w:hAnsi="Arial" w:cs="Arial"/>
          <w:sz w:val="24"/>
          <w:szCs w:val="24"/>
        </w:rPr>
        <w:t xml:space="preserve">then </w:t>
      </w:r>
      <w:r w:rsidR="00B25022">
        <w:rPr>
          <w:rFonts w:ascii="Arial" w:hAnsi="Arial" w:cs="Arial"/>
          <w:sz w:val="24"/>
          <w:szCs w:val="24"/>
        </w:rPr>
        <w:t>report annually</w:t>
      </w:r>
      <w:r w:rsidR="00E27EF9">
        <w:rPr>
          <w:rFonts w:ascii="Arial" w:hAnsi="Arial" w:cs="Arial"/>
          <w:sz w:val="24"/>
          <w:szCs w:val="24"/>
        </w:rPr>
        <w:t xml:space="preserve"> beginning in 2019.</w:t>
      </w:r>
    </w:p>
    <w:p w:rsidR="00E27EF9" w:rsidRDefault="0091537A" w:rsidP="0091537A">
      <w:pPr>
        <w:rPr>
          <w:rFonts w:ascii="Arial" w:hAnsi="Arial" w:cs="Arial"/>
          <w:sz w:val="24"/>
          <w:szCs w:val="24"/>
        </w:rPr>
      </w:pPr>
      <w:r w:rsidRPr="00DB182F">
        <w:rPr>
          <w:rFonts w:ascii="Arial" w:hAnsi="Arial" w:cs="Arial"/>
          <w:sz w:val="24"/>
          <w:szCs w:val="24"/>
        </w:rPr>
        <w:t>In June</w:t>
      </w:r>
      <w:r w:rsidR="00DB182F">
        <w:rPr>
          <w:rFonts w:ascii="Arial" w:hAnsi="Arial" w:cs="Arial"/>
          <w:sz w:val="24"/>
          <w:szCs w:val="24"/>
        </w:rPr>
        <w:t xml:space="preserve"> 2018, the FPT health ministers</w:t>
      </w:r>
      <w:r w:rsidRPr="00DB182F">
        <w:rPr>
          <w:rFonts w:ascii="Arial" w:hAnsi="Arial" w:cs="Arial"/>
          <w:sz w:val="24"/>
          <w:szCs w:val="24"/>
        </w:rPr>
        <w:t xml:space="preserve"> endorsed </w:t>
      </w:r>
      <w:r w:rsidR="00E27EF9">
        <w:rPr>
          <w:rFonts w:ascii="Arial" w:hAnsi="Arial" w:cs="Arial"/>
          <w:sz w:val="24"/>
          <w:szCs w:val="24"/>
        </w:rPr>
        <w:t>indicators for measuring access</w:t>
      </w:r>
      <w:r w:rsidRPr="00DB182F">
        <w:rPr>
          <w:rFonts w:ascii="Arial" w:hAnsi="Arial" w:cs="Arial"/>
          <w:sz w:val="24"/>
          <w:szCs w:val="24"/>
        </w:rPr>
        <w:t xml:space="preserve">. </w:t>
      </w:r>
      <w:r w:rsidR="00DB182F">
        <w:rPr>
          <w:rFonts w:ascii="Arial" w:hAnsi="Arial" w:cs="Arial"/>
          <w:sz w:val="24"/>
          <w:szCs w:val="24"/>
        </w:rPr>
        <w:t xml:space="preserve"> Note that Quebec w</w:t>
      </w:r>
      <w:r w:rsidR="00E27EF9">
        <w:rPr>
          <w:rFonts w:ascii="Arial" w:hAnsi="Arial" w:cs="Arial"/>
          <w:sz w:val="24"/>
          <w:szCs w:val="24"/>
        </w:rPr>
        <w:t>as</w:t>
      </w:r>
      <w:r w:rsidR="00DB182F">
        <w:rPr>
          <w:rFonts w:ascii="Arial" w:hAnsi="Arial" w:cs="Arial"/>
          <w:sz w:val="24"/>
          <w:szCs w:val="24"/>
        </w:rPr>
        <w:t xml:space="preserve"> an observer and Ontario</w:t>
      </w:r>
      <w:r w:rsidR="00E27EF9">
        <w:rPr>
          <w:rFonts w:ascii="Arial" w:hAnsi="Arial" w:cs="Arial"/>
          <w:sz w:val="24"/>
          <w:szCs w:val="24"/>
        </w:rPr>
        <w:t>’s</w:t>
      </w:r>
      <w:r w:rsidR="00DB182F">
        <w:rPr>
          <w:rFonts w:ascii="Arial" w:hAnsi="Arial" w:cs="Arial"/>
          <w:sz w:val="24"/>
          <w:szCs w:val="24"/>
        </w:rPr>
        <w:t xml:space="preserve"> new government and had not endorsed the</w:t>
      </w:r>
      <w:r w:rsidR="00E27EF9">
        <w:rPr>
          <w:rFonts w:ascii="Arial" w:hAnsi="Arial" w:cs="Arial"/>
          <w:sz w:val="24"/>
          <w:szCs w:val="24"/>
        </w:rPr>
        <w:t>m.</w:t>
      </w:r>
      <w:r w:rsidR="00DB182F">
        <w:rPr>
          <w:rFonts w:ascii="Arial" w:hAnsi="Arial" w:cs="Arial"/>
          <w:sz w:val="24"/>
          <w:szCs w:val="24"/>
        </w:rPr>
        <w:t xml:space="preserve"> </w:t>
      </w:r>
    </w:p>
    <w:p w:rsidR="0091537A" w:rsidRPr="00DB182F" w:rsidRDefault="0091537A" w:rsidP="0091537A">
      <w:pPr>
        <w:rPr>
          <w:rFonts w:ascii="Arial" w:hAnsi="Arial" w:cs="Arial"/>
          <w:sz w:val="24"/>
          <w:szCs w:val="24"/>
        </w:rPr>
      </w:pPr>
      <w:r w:rsidRPr="00DB182F">
        <w:rPr>
          <w:rFonts w:ascii="Arial" w:hAnsi="Arial" w:cs="Arial"/>
          <w:sz w:val="24"/>
          <w:szCs w:val="24"/>
        </w:rPr>
        <w:t>Recommended indicators for access to mental health and addictions services:</w:t>
      </w:r>
    </w:p>
    <w:p w:rsidR="0091537A" w:rsidRPr="00DB182F" w:rsidRDefault="0091537A" w:rsidP="00DB182F">
      <w:pPr>
        <w:pStyle w:val="Paragraphedelist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B182F">
        <w:rPr>
          <w:rFonts w:ascii="Arial" w:hAnsi="Arial" w:cs="Arial"/>
          <w:sz w:val="24"/>
          <w:szCs w:val="24"/>
        </w:rPr>
        <w:t>Wait Times for Community Mental Health Services, Referral/Self-Referral to Services (</w:t>
      </w:r>
      <w:r w:rsidR="00E27EF9">
        <w:rPr>
          <w:rFonts w:ascii="Arial" w:hAnsi="Arial" w:cs="Arial"/>
          <w:sz w:val="24"/>
          <w:szCs w:val="24"/>
        </w:rPr>
        <w:t>those</w:t>
      </w:r>
      <w:r w:rsidRPr="00DB182F">
        <w:rPr>
          <w:rFonts w:ascii="Arial" w:hAnsi="Arial" w:cs="Arial"/>
          <w:sz w:val="24"/>
          <w:szCs w:val="24"/>
        </w:rPr>
        <w:t xml:space="preserve"> outside of emergency departments, hospital inpatient programs and psychiatric hospitals)</w:t>
      </w:r>
    </w:p>
    <w:p w:rsidR="0091537A" w:rsidRPr="00DB182F" w:rsidRDefault="0091537A" w:rsidP="00DB182F">
      <w:pPr>
        <w:pStyle w:val="Paragraphedelist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B182F">
        <w:rPr>
          <w:rFonts w:ascii="Arial" w:hAnsi="Arial" w:cs="Arial"/>
          <w:sz w:val="24"/>
          <w:szCs w:val="24"/>
        </w:rPr>
        <w:t>Early Identification for Early Intervention in Youth Age 10 to 25 (to be defined)</w:t>
      </w:r>
    </w:p>
    <w:p w:rsidR="0091537A" w:rsidRPr="00DB182F" w:rsidRDefault="0091537A" w:rsidP="00DB182F">
      <w:pPr>
        <w:pStyle w:val="Paragraphedelist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B182F">
        <w:rPr>
          <w:rFonts w:ascii="Arial" w:hAnsi="Arial" w:cs="Arial"/>
          <w:sz w:val="24"/>
          <w:szCs w:val="24"/>
        </w:rPr>
        <w:t>Awareness and/or Successful Navigation of Mental Health and Addictions Services (self-reported, to be defined)</w:t>
      </w:r>
    </w:p>
    <w:p w:rsidR="0091537A" w:rsidRPr="00DB182F" w:rsidRDefault="0091537A" w:rsidP="00DB182F">
      <w:pPr>
        <w:pStyle w:val="Paragraphedelist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B182F">
        <w:rPr>
          <w:rFonts w:ascii="Arial" w:hAnsi="Arial" w:cs="Arial"/>
          <w:sz w:val="24"/>
          <w:szCs w:val="24"/>
        </w:rPr>
        <w:t>Rates of Repeat Emergency Department and/or Urgent Care Centre Visits for a Mental Health or Addiction Issue</w:t>
      </w:r>
    </w:p>
    <w:p w:rsidR="0091537A" w:rsidRPr="00DB182F" w:rsidRDefault="0091537A" w:rsidP="00DB182F">
      <w:pPr>
        <w:pStyle w:val="Paragraphedelist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B182F">
        <w:rPr>
          <w:rFonts w:ascii="Arial" w:hAnsi="Arial" w:cs="Arial"/>
          <w:sz w:val="24"/>
          <w:szCs w:val="24"/>
        </w:rPr>
        <w:t>Hospitalization Rates for Problematic Substance Use</w:t>
      </w:r>
    </w:p>
    <w:p w:rsidR="00E27EF9" w:rsidRPr="00E27EF9" w:rsidRDefault="0091537A" w:rsidP="0091537A">
      <w:pPr>
        <w:pStyle w:val="Paragraphedelist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B182F">
        <w:rPr>
          <w:rFonts w:ascii="Arial" w:hAnsi="Arial" w:cs="Arial"/>
          <w:sz w:val="24"/>
          <w:szCs w:val="24"/>
        </w:rPr>
        <w:t>Rates o</w:t>
      </w:r>
      <w:r w:rsidR="00E27EF9">
        <w:rPr>
          <w:rFonts w:ascii="Arial" w:hAnsi="Arial" w:cs="Arial"/>
          <w:sz w:val="24"/>
          <w:szCs w:val="24"/>
        </w:rPr>
        <w:t>f Self-Injury, Including Suicide</w:t>
      </w:r>
    </w:p>
    <w:p w:rsidR="0091537A" w:rsidRPr="00E27EF9" w:rsidRDefault="0091537A" w:rsidP="0091537A">
      <w:pPr>
        <w:rPr>
          <w:rFonts w:ascii="Arial" w:hAnsi="Arial" w:cs="Arial"/>
          <w:sz w:val="24"/>
          <w:szCs w:val="24"/>
        </w:rPr>
      </w:pPr>
      <w:r w:rsidRPr="00DB182F">
        <w:rPr>
          <w:rFonts w:ascii="Arial" w:hAnsi="Arial" w:cs="Arial"/>
          <w:sz w:val="24"/>
          <w:szCs w:val="24"/>
        </w:rPr>
        <w:t>Recommended indicators for access to home and community care:</w:t>
      </w:r>
    </w:p>
    <w:p w:rsidR="0091537A" w:rsidRPr="00DB182F" w:rsidRDefault="0091537A" w:rsidP="00DB182F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B182F">
        <w:rPr>
          <w:rFonts w:ascii="Arial" w:hAnsi="Arial" w:cs="Arial"/>
          <w:sz w:val="24"/>
          <w:szCs w:val="24"/>
        </w:rPr>
        <w:t>Wait Times for Home Care Services, Referral to Services</w:t>
      </w:r>
    </w:p>
    <w:p w:rsidR="0091537A" w:rsidRPr="00DB182F" w:rsidRDefault="0091537A" w:rsidP="00DB182F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B182F">
        <w:rPr>
          <w:rFonts w:ascii="Arial" w:hAnsi="Arial" w:cs="Arial"/>
          <w:sz w:val="24"/>
          <w:szCs w:val="24"/>
        </w:rPr>
        <w:t>Alternate Level of Care Length of Stay for Inpatients Discharged to Home Care Services</w:t>
      </w:r>
    </w:p>
    <w:p w:rsidR="0091537A" w:rsidRPr="00DB182F" w:rsidRDefault="0091537A" w:rsidP="00DB182F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B182F">
        <w:rPr>
          <w:rFonts w:ascii="Arial" w:hAnsi="Arial" w:cs="Arial"/>
          <w:sz w:val="24"/>
          <w:szCs w:val="24"/>
        </w:rPr>
        <w:t>Home Care Services Helped the Recipient Stay at Home (self-reported)</w:t>
      </w:r>
    </w:p>
    <w:p w:rsidR="0091537A" w:rsidRPr="00DB182F" w:rsidRDefault="0091537A" w:rsidP="00DB182F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B182F">
        <w:rPr>
          <w:rFonts w:ascii="Arial" w:hAnsi="Arial" w:cs="Arial"/>
          <w:sz w:val="24"/>
          <w:szCs w:val="24"/>
        </w:rPr>
        <w:t>Caregiver Distress</w:t>
      </w:r>
    </w:p>
    <w:p w:rsidR="0091537A" w:rsidRPr="00DB182F" w:rsidRDefault="0091537A" w:rsidP="00DB182F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B182F">
        <w:rPr>
          <w:rFonts w:ascii="Arial" w:hAnsi="Arial" w:cs="Arial"/>
          <w:sz w:val="24"/>
          <w:szCs w:val="24"/>
        </w:rPr>
        <w:t>(In)appropriate Move to Long-Term Care</w:t>
      </w:r>
    </w:p>
    <w:p w:rsidR="00E27EF9" w:rsidRDefault="0091537A" w:rsidP="00E27EF9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B182F">
        <w:rPr>
          <w:rFonts w:ascii="Arial" w:hAnsi="Arial" w:cs="Arial"/>
          <w:sz w:val="24"/>
          <w:szCs w:val="24"/>
        </w:rPr>
        <w:t>Death at Home/Not in Hospital (to be defined)</w:t>
      </w:r>
    </w:p>
    <w:p w:rsidR="00E27EF9" w:rsidRDefault="00E27EF9" w:rsidP="00E27E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</w:t>
      </w:r>
    </w:p>
    <w:p w:rsidR="000E4039" w:rsidRPr="00460098" w:rsidRDefault="00E27EF9" w:rsidP="00915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 Urquhart</w:t>
      </w:r>
    </w:p>
    <w:sectPr w:rsidR="000E4039" w:rsidRPr="00460098" w:rsidSect="00E27EF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2A3"/>
    <w:multiLevelType w:val="hybridMultilevel"/>
    <w:tmpl w:val="E1D8D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A3B"/>
    <w:multiLevelType w:val="hybridMultilevel"/>
    <w:tmpl w:val="1C682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999"/>
    <w:multiLevelType w:val="hybridMultilevel"/>
    <w:tmpl w:val="CFD83E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A4056"/>
    <w:multiLevelType w:val="hybridMultilevel"/>
    <w:tmpl w:val="AB3EEF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91A3A"/>
    <w:multiLevelType w:val="hybridMultilevel"/>
    <w:tmpl w:val="CEF67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C3476"/>
    <w:multiLevelType w:val="hybridMultilevel"/>
    <w:tmpl w:val="9A7612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F36ACF"/>
    <w:multiLevelType w:val="hybridMultilevel"/>
    <w:tmpl w:val="C096D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53E66"/>
    <w:multiLevelType w:val="hybridMultilevel"/>
    <w:tmpl w:val="4508C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B155C"/>
    <w:multiLevelType w:val="hybridMultilevel"/>
    <w:tmpl w:val="23F0FB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15304A"/>
    <w:multiLevelType w:val="hybridMultilevel"/>
    <w:tmpl w:val="7D5E16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8E00DA"/>
    <w:multiLevelType w:val="hybridMultilevel"/>
    <w:tmpl w:val="D4600B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F345C"/>
    <w:multiLevelType w:val="hybridMultilevel"/>
    <w:tmpl w:val="F692D6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6B3F62"/>
    <w:multiLevelType w:val="hybridMultilevel"/>
    <w:tmpl w:val="CC28B9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A17C8"/>
    <w:multiLevelType w:val="hybridMultilevel"/>
    <w:tmpl w:val="9E828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26F81"/>
    <w:multiLevelType w:val="hybridMultilevel"/>
    <w:tmpl w:val="E508D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E72EA"/>
    <w:multiLevelType w:val="hybridMultilevel"/>
    <w:tmpl w:val="8F3422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1F0C56"/>
    <w:multiLevelType w:val="hybridMultilevel"/>
    <w:tmpl w:val="CF2C49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07A6A"/>
    <w:multiLevelType w:val="hybridMultilevel"/>
    <w:tmpl w:val="2944A0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81764"/>
    <w:multiLevelType w:val="hybridMultilevel"/>
    <w:tmpl w:val="11DA26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4F700C"/>
    <w:multiLevelType w:val="hybridMultilevel"/>
    <w:tmpl w:val="92401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10"/>
  </w:num>
  <w:num w:numId="5">
    <w:abstractNumId w:val="12"/>
  </w:num>
  <w:num w:numId="6">
    <w:abstractNumId w:val="0"/>
  </w:num>
  <w:num w:numId="7">
    <w:abstractNumId w:val="14"/>
  </w:num>
  <w:num w:numId="8">
    <w:abstractNumId w:val="7"/>
  </w:num>
  <w:num w:numId="9">
    <w:abstractNumId w:val="17"/>
  </w:num>
  <w:num w:numId="10">
    <w:abstractNumId w:val="1"/>
  </w:num>
  <w:num w:numId="11">
    <w:abstractNumId w:val="5"/>
  </w:num>
  <w:num w:numId="12">
    <w:abstractNumId w:val="15"/>
  </w:num>
  <w:num w:numId="13">
    <w:abstractNumId w:val="3"/>
  </w:num>
  <w:num w:numId="14">
    <w:abstractNumId w:val="18"/>
  </w:num>
  <w:num w:numId="15">
    <w:abstractNumId w:val="9"/>
  </w:num>
  <w:num w:numId="16">
    <w:abstractNumId w:val="2"/>
  </w:num>
  <w:num w:numId="17">
    <w:abstractNumId w:val="8"/>
  </w:num>
  <w:num w:numId="18">
    <w:abstractNumId w:val="11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C5E"/>
    <w:rsid w:val="000E4039"/>
    <w:rsid w:val="000E77E7"/>
    <w:rsid w:val="0017138B"/>
    <w:rsid w:val="002938B6"/>
    <w:rsid w:val="003001D8"/>
    <w:rsid w:val="00351444"/>
    <w:rsid w:val="00417C5E"/>
    <w:rsid w:val="00460098"/>
    <w:rsid w:val="004B4DD5"/>
    <w:rsid w:val="00862BD5"/>
    <w:rsid w:val="0091537A"/>
    <w:rsid w:val="00973B43"/>
    <w:rsid w:val="00990F85"/>
    <w:rsid w:val="009C48A3"/>
    <w:rsid w:val="00A0375B"/>
    <w:rsid w:val="00A446EC"/>
    <w:rsid w:val="00AE527B"/>
    <w:rsid w:val="00B13C4F"/>
    <w:rsid w:val="00B25022"/>
    <w:rsid w:val="00CC70DF"/>
    <w:rsid w:val="00DB182F"/>
    <w:rsid w:val="00E27EF9"/>
    <w:rsid w:val="00F636B9"/>
    <w:rsid w:val="00FC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15F5A-73E1-469E-84D7-1D109D56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36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36B9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862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2190</Characters>
  <Application>Microsoft Office Word</Application>
  <DocSecurity>4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Roger Regimbal</cp:lastModifiedBy>
  <cp:revision>2</cp:revision>
  <dcterms:created xsi:type="dcterms:W3CDTF">2019-03-12T12:48:00Z</dcterms:created>
  <dcterms:modified xsi:type="dcterms:W3CDTF">2019-03-12T12:48:00Z</dcterms:modified>
</cp:coreProperties>
</file>