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B6" w:rsidRDefault="00FE69B6" w:rsidP="00FE69B6">
      <w:r>
        <w:rPr>
          <w:noProof/>
        </w:rPr>
        <w:drawing>
          <wp:anchor distT="0" distB="0" distL="114300" distR="114300" simplePos="0" relativeHeight="251659264" behindDoc="0" locked="0" layoutInCell="1" allowOverlap="1">
            <wp:simplePos x="0" y="0"/>
            <wp:positionH relativeFrom="page">
              <wp:posOffset>832908</wp:posOffset>
            </wp:positionH>
            <wp:positionV relativeFrom="page">
              <wp:posOffset>816610</wp:posOffset>
            </wp:positionV>
            <wp:extent cx="3429000" cy="5029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502920"/>
                    </a:xfrm>
                    <a:prstGeom prst="rect">
                      <a:avLst/>
                    </a:prstGeom>
                    <a:noFill/>
                  </pic:spPr>
                </pic:pic>
              </a:graphicData>
            </a:graphic>
            <wp14:sizeRelH relativeFrom="page">
              <wp14:pctWidth>0</wp14:pctWidth>
            </wp14:sizeRelH>
            <wp14:sizeRelV relativeFrom="page">
              <wp14:pctHeight>0</wp14:pctHeight>
            </wp14:sizeRelV>
          </wp:anchor>
        </w:drawing>
      </w:r>
    </w:p>
    <w:p w:rsidR="00FE69B6" w:rsidRDefault="00FE69B6" w:rsidP="00FE69B6">
      <w:pPr>
        <w:rPr>
          <w:lang w:val="en-GB"/>
        </w:rPr>
      </w:pPr>
    </w:p>
    <w:p w:rsidR="00FE69B6" w:rsidRDefault="00FE69B6" w:rsidP="00FE69B6">
      <w:pPr>
        <w:rPr>
          <w:sz w:val="20"/>
          <w:szCs w:val="20"/>
          <w:lang w:val="en-GB"/>
        </w:rPr>
      </w:pPr>
    </w:p>
    <w:p w:rsidR="00FE69B6" w:rsidRDefault="00FE69B6" w:rsidP="00FE69B6">
      <w:pPr>
        <w:rPr>
          <w:sz w:val="20"/>
          <w:szCs w:val="20"/>
          <w:lang w:val="en-GB"/>
        </w:rPr>
      </w:pPr>
    </w:p>
    <w:p w:rsidR="00FE69B6" w:rsidRDefault="00FE69B6" w:rsidP="00FE69B6">
      <w:pPr>
        <w:rPr>
          <w:lang w:val="en-GB"/>
        </w:rPr>
      </w:pPr>
    </w:p>
    <w:p w:rsidR="00FE69B6" w:rsidRDefault="00FE69B6" w:rsidP="00FE69B6">
      <w:pPr>
        <w:rPr>
          <w:lang w:val="en-GB"/>
        </w:rPr>
      </w:pPr>
      <w:r>
        <w:rPr>
          <w:lang w:val="en-GB"/>
        </w:rPr>
        <w:t>March 13, 2019</w:t>
      </w:r>
    </w:p>
    <w:p w:rsidR="00FE69B6" w:rsidRDefault="00FE69B6" w:rsidP="00FE69B6">
      <w:pPr>
        <w:ind w:firstLine="3600"/>
        <w:rPr>
          <w:lang w:val="en-GB"/>
        </w:rPr>
      </w:pPr>
    </w:p>
    <w:p w:rsidR="00FE69B6" w:rsidRDefault="00FE69B6" w:rsidP="00FE69B6">
      <w:pPr>
        <w:rPr>
          <w:lang w:val="en-GB"/>
        </w:rPr>
      </w:pPr>
      <w:r>
        <w:rPr>
          <w:lang w:val="en-GB"/>
        </w:rPr>
        <w:t>Roger Régimbal</w:t>
      </w:r>
    </w:p>
    <w:p w:rsidR="00FE69B6" w:rsidRDefault="00FE69B6" w:rsidP="00FE69B6">
      <w:pPr>
        <w:rPr>
          <w:lang w:val="en-US"/>
        </w:rPr>
      </w:pPr>
      <w:r>
        <w:rPr>
          <w:lang w:val="en-US"/>
        </w:rPr>
        <w:t>Executive Director</w:t>
      </w:r>
    </w:p>
    <w:p w:rsidR="00FE69B6" w:rsidRDefault="00FE69B6" w:rsidP="00FE69B6">
      <w:pPr>
        <w:rPr>
          <w:lang w:val="en-US"/>
        </w:rPr>
      </w:pPr>
      <w:r>
        <w:rPr>
          <w:lang w:val="en-US"/>
        </w:rPr>
        <w:t>Canadian Association of Retired Teachers</w:t>
      </w:r>
    </w:p>
    <w:p w:rsidR="00FE69B6" w:rsidRDefault="00FE69B6" w:rsidP="00FE69B6">
      <w:pPr>
        <w:rPr>
          <w:lang w:val="en-US"/>
        </w:rPr>
      </w:pPr>
      <w:r>
        <w:rPr>
          <w:lang w:val="en-US"/>
        </w:rPr>
        <w:t>2448 Promenade Orient Park</w:t>
      </w:r>
    </w:p>
    <w:p w:rsidR="00FE69B6" w:rsidRDefault="00FE69B6" w:rsidP="00FE69B6">
      <w:pPr>
        <w:rPr>
          <w:lang w:val="en-US"/>
        </w:rPr>
      </w:pPr>
      <w:r>
        <w:rPr>
          <w:lang w:val="en-US"/>
        </w:rPr>
        <w:t xml:space="preserve">Gloucester </w:t>
      </w:r>
      <w:proofErr w:type="gramStart"/>
      <w:r>
        <w:rPr>
          <w:lang w:val="en-US"/>
        </w:rPr>
        <w:t>ON  K</w:t>
      </w:r>
      <w:proofErr w:type="gramEnd"/>
      <w:r>
        <w:rPr>
          <w:lang w:val="en-US"/>
        </w:rPr>
        <w:t>1B 4N1</w:t>
      </w:r>
    </w:p>
    <w:p w:rsidR="00FE69B6" w:rsidRDefault="00FE69B6" w:rsidP="00FE69B6">
      <w:pPr>
        <w:rPr>
          <w:lang w:val="en-US"/>
        </w:rPr>
      </w:pPr>
    </w:p>
    <w:p w:rsidR="00FE69B6" w:rsidRDefault="00FE69B6" w:rsidP="00FE69B6">
      <w:pPr>
        <w:rPr>
          <w:u w:val="single"/>
          <w:lang w:val="en-GB"/>
        </w:rPr>
      </w:pPr>
      <w:r>
        <w:rPr>
          <w:u w:val="single"/>
          <w:lang w:val="en-GB"/>
        </w:rPr>
        <w:t>RE:  Requirements of the Lobbying Act</w:t>
      </w:r>
    </w:p>
    <w:p w:rsidR="00FE69B6" w:rsidRDefault="00FE69B6" w:rsidP="00FE69B6">
      <w:pPr>
        <w:rPr>
          <w:u w:val="single"/>
          <w:lang w:val="en-GB"/>
        </w:rPr>
      </w:pPr>
    </w:p>
    <w:p w:rsidR="00FE69B6" w:rsidRDefault="00FE69B6" w:rsidP="00FE69B6">
      <w:pPr>
        <w:rPr>
          <w:lang w:val="en-GB"/>
        </w:rPr>
      </w:pPr>
      <w:r>
        <w:rPr>
          <w:lang w:val="en-GB"/>
        </w:rPr>
        <w:t xml:space="preserve">Dear </w:t>
      </w:r>
      <w:proofErr w:type="gramStart"/>
      <w:r>
        <w:rPr>
          <w:lang w:val="en-GB"/>
        </w:rPr>
        <w:t>Mr.</w:t>
      </w:r>
      <w:proofErr w:type="gramEnd"/>
      <w:r>
        <w:rPr>
          <w:lang w:val="en-GB"/>
        </w:rPr>
        <w:t xml:space="preserve"> Régimbal:</w:t>
      </w:r>
    </w:p>
    <w:p w:rsidR="00FE69B6" w:rsidRDefault="00FE69B6" w:rsidP="00FE69B6">
      <w:pPr>
        <w:rPr>
          <w:lang w:val="en-GB"/>
        </w:rPr>
      </w:pPr>
    </w:p>
    <w:p w:rsidR="00FE69B6" w:rsidRDefault="00FE69B6" w:rsidP="00FE69B6">
      <w:pPr>
        <w:rPr>
          <w:lang w:val="en-US"/>
        </w:rPr>
      </w:pPr>
      <w:r>
        <w:rPr>
          <w:lang w:val="en-US"/>
        </w:rPr>
        <w:t>It has recently come to our attention that your organization may engage in lobbying activities.  The purpose of this letter is simply to make you aware of the obligation to register in-house (organization) lobbying activities, should your organization meet the requirements of the Act.</w:t>
      </w:r>
    </w:p>
    <w:p w:rsidR="00FE69B6" w:rsidRDefault="00FE69B6" w:rsidP="00FE69B6">
      <w:pPr>
        <w:rPr>
          <w:lang w:val="en-US"/>
        </w:rPr>
      </w:pPr>
    </w:p>
    <w:p w:rsidR="00FE69B6" w:rsidRDefault="00FE69B6" w:rsidP="00FE69B6">
      <w:pPr>
        <w:rPr>
          <w:lang w:val="en-GB"/>
        </w:rPr>
      </w:pPr>
      <w:r>
        <w:rPr>
          <w:lang w:val="en-GB"/>
        </w:rPr>
        <w:t>Non-profit organizations may be engaged in registrable lobbying if they employ one or more individuals, any part of whose duties is to communicate with federal public office holders in respect of:</w:t>
      </w:r>
    </w:p>
    <w:p w:rsidR="00FE69B6" w:rsidRDefault="00FE69B6" w:rsidP="00FE69B6">
      <w:pPr>
        <w:rPr>
          <w:lang w:val="en-GB"/>
        </w:rPr>
      </w:pPr>
    </w:p>
    <w:p w:rsidR="00FE69B6" w:rsidRDefault="00FE69B6" w:rsidP="00FE69B6">
      <w:pPr>
        <w:numPr>
          <w:ilvl w:val="0"/>
          <w:numId w:val="1"/>
        </w:numPr>
        <w:rPr>
          <w:lang w:val="en-GB"/>
        </w:rPr>
      </w:pPr>
      <w:r>
        <w:rPr>
          <w:lang w:val="en-GB"/>
        </w:rPr>
        <w:t xml:space="preserve">the development of any legislative proposal; </w:t>
      </w:r>
    </w:p>
    <w:p w:rsidR="00FE69B6" w:rsidRDefault="00FE69B6" w:rsidP="00FE69B6">
      <w:pPr>
        <w:numPr>
          <w:ilvl w:val="0"/>
          <w:numId w:val="1"/>
        </w:numPr>
        <w:rPr>
          <w:lang w:val="en-GB"/>
        </w:rPr>
      </w:pPr>
      <w:r>
        <w:rPr>
          <w:lang w:val="en-GB"/>
        </w:rPr>
        <w:t xml:space="preserve">introduction, passage, defeat or amendment of any Bill or resolution; </w:t>
      </w:r>
    </w:p>
    <w:p w:rsidR="00FE69B6" w:rsidRDefault="00FE69B6" w:rsidP="00FE69B6">
      <w:pPr>
        <w:numPr>
          <w:ilvl w:val="0"/>
          <w:numId w:val="1"/>
        </w:numPr>
        <w:rPr>
          <w:lang w:val="en-GB"/>
        </w:rPr>
      </w:pPr>
      <w:r>
        <w:rPr>
          <w:lang w:val="en-GB"/>
        </w:rPr>
        <w:t xml:space="preserve">making or amendment of any regulation; </w:t>
      </w:r>
    </w:p>
    <w:p w:rsidR="00FE69B6" w:rsidRDefault="00FE69B6" w:rsidP="00FE69B6">
      <w:pPr>
        <w:numPr>
          <w:ilvl w:val="0"/>
          <w:numId w:val="1"/>
        </w:numPr>
        <w:rPr>
          <w:lang w:val="en-GB"/>
        </w:rPr>
      </w:pPr>
      <w:r>
        <w:rPr>
          <w:lang w:val="en-GB"/>
        </w:rPr>
        <w:t xml:space="preserve">development or amendment of any policy or program; or </w:t>
      </w:r>
    </w:p>
    <w:p w:rsidR="00FE69B6" w:rsidRDefault="00FE69B6" w:rsidP="00FE69B6">
      <w:pPr>
        <w:numPr>
          <w:ilvl w:val="0"/>
          <w:numId w:val="1"/>
        </w:numPr>
        <w:rPr>
          <w:lang w:val="en-GB"/>
        </w:rPr>
      </w:pPr>
      <w:r>
        <w:rPr>
          <w:lang w:val="en-GB"/>
        </w:rPr>
        <w:t xml:space="preserve">the awarding of any grant, contribution or financial benefit. </w:t>
      </w:r>
    </w:p>
    <w:p w:rsidR="00FE69B6" w:rsidRDefault="00FE69B6" w:rsidP="00FE69B6">
      <w:pPr>
        <w:rPr>
          <w:lang w:val="en-US"/>
        </w:rPr>
      </w:pPr>
    </w:p>
    <w:p w:rsidR="00FE69B6" w:rsidRDefault="00FE69B6" w:rsidP="00FE69B6">
      <w:pPr>
        <w:rPr>
          <w:lang w:val="en-US"/>
        </w:rPr>
      </w:pPr>
      <w:r>
        <w:rPr>
          <w:lang w:val="en-US"/>
        </w:rPr>
        <w:t xml:space="preserve">Registration is required if those duties constitute a significant part of the duties of one </w:t>
      </w:r>
      <w:proofErr w:type="gramStart"/>
      <w:r>
        <w:rPr>
          <w:lang w:val="en-US"/>
        </w:rPr>
        <w:t>employee, or</w:t>
      </w:r>
      <w:proofErr w:type="gramEnd"/>
      <w:r>
        <w:rPr>
          <w:lang w:val="en-US"/>
        </w:rPr>
        <w:t xml:space="preserve"> would constitute a significant part of the duties of one employee if they were performed by only one employee.  </w:t>
      </w:r>
    </w:p>
    <w:p w:rsidR="00FE69B6" w:rsidRDefault="00FE69B6" w:rsidP="00FE69B6">
      <w:pPr>
        <w:rPr>
          <w:lang w:val="en-US"/>
        </w:rPr>
      </w:pPr>
    </w:p>
    <w:p w:rsidR="00FE69B6" w:rsidRDefault="00FE69B6" w:rsidP="00FE69B6">
      <w:pPr>
        <w:rPr>
          <w:lang w:val="en-US"/>
        </w:rPr>
      </w:pPr>
      <w:r>
        <w:rPr>
          <w:lang w:val="en-US"/>
        </w:rPr>
        <w:t xml:space="preserve">The threshold after which lobbying represents </w:t>
      </w:r>
      <w:hyperlink r:id="rId6" w:history="1">
        <w:r>
          <w:rPr>
            <w:rStyle w:val="Lienhypertexte"/>
            <w:color w:val="3366FF"/>
            <w:lang w:val="en"/>
          </w:rPr>
          <w:t>A Significant Part of Duties ("The 20% Rule")</w:t>
        </w:r>
      </w:hyperlink>
      <w:r>
        <w:rPr>
          <w:color w:val="3366FF"/>
          <w:lang w:val="en"/>
        </w:rPr>
        <w:t xml:space="preserve"> </w:t>
      </w:r>
      <w:r>
        <w:rPr>
          <w:lang w:val="en-US"/>
        </w:rPr>
        <w:t>has been established at 20 percent.  If your organization meets this threshold, the most senior paid employee must file an in-house (organization) lobbyist registration.</w:t>
      </w:r>
    </w:p>
    <w:p w:rsidR="00FE69B6" w:rsidRDefault="00FE69B6" w:rsidP="00FE69B6">
      <w:pPr>
        <w:rPr>
          <w:lang w:val="en-US"/>
        </w:rPr>
      </w:pPr>
      <w:r>
        <w:rPr>
          <w:lang w:val="en-US"/>
        </w:rPr>
        <w:t xml:space="preserve">  </w:t>
      </w:r>
    </w:p>
    <w:p w:rsidR="00FE69B6" w:rsidRDefault="00FE69B6" w:rsidP="00FE69B6">
      <w:pPr>
        <w:rPr>
          <w:color w:val="0000FF"/>
          <w:lang w:val="en-US"/>
        </w:rPr>
      </w:pPr>
      <w:r>
        <w:rPr>
          <w:lang w:val="en-US"/>
        </w:rPr>
        <w:t xml:space="preserve">For more information about the Lobbying Act or the Lobbyists’ Code of Conduct, and to determine if you are required to register, please visit </w:t>
      </w:r>
      <w:hyperlink r:id="rId7" w:history="1">
        <w:r>
          <w:rPr>
            <w:rStyle w:val="Lienhypertexte"/>
            <w:color w:val="0066FF"/>
            <w:lang w:val="en-US"/>
          </w:rPr>
          <w:t>www.ocl-cal.gc.ca</w:t>
        </w:r>
      </w:hyperlink>
      <w:r>
        <w:rPr>
          <w:color w:val="0066FF"/>
          <w:u w:val="single"/>
          <w:lang w:val="en-US"/>
        </w:rPr>
        <w:t>.</w:t>
      </w:r>
      <w:r>
        <w:rPr>
          <w:color w:val="0066FF"/>
          <w:lang w:val="en-US"/>
        </w:rPr>
        <w:t xml:space="preserve"> </w:t>
      </w:r>
      <w:r>
        <w:rPr>
          <w:color w:val="0000FF"/>
          <w:lang w:val="en-US"/>
        </w:rPr>
        <w:t> </w:t>
      </w:r>
    </w:p>
    <w:p w:rsidR="00FE69B6" w:rsidRDefault="00FE69B6" w:rsidP="00FE69B6">
      <w:pPr>
        <w:rPr>
          <w:color w:val="0000FF"/>
          <w:lang w:val="en-US"/>
        </w:rPr>
      </w:pPr>
    </w:p>
    <w:p w:rsidR="00FE69B6" w:rsidRDefault="00FE69B6" w:rsidP="00FE69B6">
      <w:pPr>
        <w:rPr>
          <w:lang w:val="en-US"/>
        </w:rPr>
      </w:pPr>
      <w:r>
        <w:rPr>
          <w:lang w:val="en-US"/>
        </w:rPr>
        <w:t xml:space="preserve">Should you have any questions, please do not hesitate to contact Denise Cloutier, Compliance Officer, at (613) 952-4291. </w:t>
      </w:r>
    </w:p>
    <w:p w:rsidR="00FE69B6" w:rsidRDefault="00FE69B6" w:rsidP="00FE69B6">
      <w:pPr>
        <w:keepNext/>
        <w:rPr>
          <w:lang w:val="en-US"/>
        </w:rPr>
      </w:pPr>
    </w:p>
    <w:p w:rsidR="00FE69B6" w:rsidRDefault="00FE69B6" w:rsidP="00FE69B6">
      <w:pPr>
        <w:keepNext/>
        <w:rPr>
          <w:lang w:val="en-CA"/>
        </w:rPr>
      </w:pPr>
      <w:r>
        <w:rPr>
          <w:lang w:val="en-CA"/>
        </w:rPr>
        <w:t xml:space="preserve">We would appreciate if you could confirm that you are aware of the requirements of the Act, and that you </w:t>
      </w:r>
      <w:proofErr w:type="gramStart"/>
      <w:r>
        <w:rPr>
          <w:lang w:val="en-CA"/>
        </w:rPr>
        <w:t>are in compliance</w:t>
      </w:r>
      <w:proofErr w:type="gramEnd"/>
      <w:r>
        <w:rPr>
          <w:lang w:val="en-CA"/>
        </w:rPr>
        <w:t xml:space="preserve">, within 30 days of receiving this letter.  </w:t>
      </w:r>
    </w:p>
    <w:p w:rsidR="00FE69B6" w:rsidRDefault="00FE69B6" w:rsidP="00FE69B6">
      <w:pPr>
        <w:keepNext/>
        <w:rPr>
          <w:lang w:val="en-CA"/>
        </w:rPr>
      </w:pPr>
    </w:p>
    <w:p w:rsidR="00FE69B6" w:rsidRDefault="00FE69B6" w:rsidP="00FE69B6">
      <w:pPr>
        <w:rPr>
          <w:lang w:val="en-US"/>
        </w:rPr>
      </w:pPr>
      <w:r>
        <w:rPr>
          <w:lang w:val="en-US"/>
        </w:rPr>
        <w:t>Thank you for your cooperation and I look forward to your response.</w:t>
      </w:r>
    </w:p>
    <w:p w:rsidR="00FE69B6" w:rsidRDefault="00FE69B6" w:rsidP="00FE69B6">
      <w:pPr>
        <w:rPr>
          <w:lang w:val="en-US"/>
        </w:rPr>
      </w:pPr>
      <w:r>
        <w:rPr>
          <w:lang w:val="en-US"/>
        </w:rPr>
        <w:t xml:space="preserve">                                                            </w:t>
      </w:r>
    </w:p>
    <w:p w:rsidR="00FE69B6" w:rsidRDefault="00FE69B6" w:rsidP="00FE69B6">
      <w:pPr>
        <w:rPr>
          <w:lang w:val="en-US"/>
        </w:rPr>
      </w:pPr>
      <w:r>
        <w:rPr>
          <w:lang w:val="en-US"/>
        </w:rPr>
        <w:t>Yours sincerely,</w:t>
      </w:r>
    </w:p>
    <w:p w:rsidR="00FE69B6" w:rsidRDefault="00FE69B6" w:rsidP="00FE69B6">
      <w:pPr>
        <w:rPr>
          <w:lang w:val="en-US"/>
        </w:rPr>
      </w:pPr>
      <w:r>
        <w:rPr>
          <w:lang w:val="en-US"/>
        </w:rPr>
        <w:t xml:space="preserve">                                                </w:t>
      </w:r>
    </w:p>
    <w:p w:rsidR="00FE69B6" w:rsidRDefault="00FE69B6" w:rsidP="00FE69B6">
      <w:pPr>
        <w:rPr>
          <w:lang w:val="en-US"/>
        </w:rPr>
      </w:pPr>
      <w:r>
        <w:rPr>
          <w:noProof/>
          <w:lang w:val="en-US" w:eastAsia="en-US"/>
        </w:rPr>
        <w:drawing>
          <wp:inline distT="0" distB="0" distL="0" distR="0">
            <wp:extent cx="1430655" cy="626745"/>
            <wp:effectExtent l="0" t="0" r="0" b="1905"/>
            <wp:docPr id="2" name="Image 2" descr="cid:image003.png@01D4D97F.E7FAB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D97F.E7FABB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0655" cy="626745"/>
                    </a:xfrm>
                    <a:prstGeom prst="rect">
                      <a:avLst/>
                    </a:prstGeom>
                    <a:noFill/>
                    <a:ln>
                      <a:noFill/>
                    </a:ln>
                  </pic:spPr>
                </pic:pic>
              </a:graphicData>
            </a:graphic>
          </wp:inline>
        </w:drawing>
      </w:r>
    </w:p>
    <w:p w:rsidR="00FE69B6" w:rsidRDefault="00FE69B6" w:rsidP="00FE69B6">
      <w:pPr>
        <w:rPr>
          <w:lang w:val="en-US"/>
        </w:rPr>
      </w:pPr>
    </w:p>
    <w:p w:rsidR="00FE69B6" w:rsidRDefault="00FE69B6" w:rsidP="00FE69B6">
      <w:pPr>
        <w:rPr>
          <w:lang w:val="en-US"/>
        </w:rPr>
      </w:pPr>
      <w:r>
        <w:rPr>
          <w:lang w:val="en-US"/>
        </w:rPr>
        <w:t>Phil McIntosh</w:t>
      </w:r>
    </w:p>
    <w:p w:rsidR="00FE69B6" w:rsidRDefault="00FE69B6" w:rsidP="00FE69B6">
      <w:pPr>
        <w:rPr>
          <w:lang w:val="en-US"/>
        </w:rPr>
      </w:pPr>
      <w:r>
        <w:rPr>
          <w:lang w:val="en-US"/>
        </w:rPr>
        <w:t>Director of Investigations</w:t>
      </w:r>
    </w:p>
    <w:p w:rsidR="00FE69B6" w:rsidRDefault="00FE69B6" w:rsidP="00FE69B6">
      <w:pPr>
        <w:rPr>
          <w:lang w:val="en-US"/>
        </w:rPr>
      </w:pPr>
    </w:p>
    <w:p w:rsidR="00FE69B6" w:rsidRDefault="00FE69B6" w:rsidP="00FE69B6">
      <w:pPr>
        <w:spacing w:before="200" w:after="60"/>
        <w:jc w:val="center"/>
        <w:rPr>
          <w:lang w:val="en-US"/>
        </w:rPr>
      </w:pPr>
      <w:r>
        <w:rPr>
          <w:noProof/>
          <w:lang w:val="en-US" w:eastAsia="en-US"/>
        </w:rPr>
        <w:drawing>
          <wp:inline distT="0" distB="0" distL="0" distR="0">
            <wp:extent cx="283845" cy="363855"/>
            <wp:effectExtent l="0" t="0" r="1905" b="0"/>
            <wp:docPr id="1" name="Image 1" descr="cid:image004.png@01D4D97F.E7FAB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D97F.E7FABB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3845" cy="363855"/>
                    </a:xfrm>
                    <a:prstGeom prst="rect">
                      <a:avLst/>
                    </a:prstGeom>
                    <a:noFill/>
                    <a:ln>
                      <a:noFill/>
                    </a:ln>
                  </pic:spPr>
                </pic:pic>
              </a:graphicData>
            </a:graphic>
          </wp:inline>
        </w:drawing>
      </w:r>
    </w:p>
    <w:p w:rsidR="00FE69B6" w:rsidRDefault="00FE69B6" w:rsidP="00FE69B6">
      <w:pPr>
        <w:jc w:val="center"/>
        <w:rPr>
          <w:rFonts w:ascii="Segoe UI" w:hAnsi="Segoe UI" w:cs="Segoe UI"/>
          <w:color w:val="3B3838"/>
          <w:sz w:val="20"/>
          <w:szCs w:val="20"/>
          <w:lang w:val="en-US"/>
        </w:rPr>
      </w:pPr>
      <w:r>
        <w:rPr>
          <w:rFonts w:ascii="Segoe UI" w:hAnsi="Segoe UI" w:cs="Segoe UI"/>
          <w:color w:val="3B3838"/>
          <w:sz w:val="20"/>
          <w:szCs w:val="20"/>
          <w:lang w:val="en-US"/>
        </w:rPr>
        <w:t xml:space="preserve">255 Albert </w:t>
      </w:r>
      <w:r>
        <w:rPr>
          <w:rFonts w:ascii="Segoe UI" w:hAnsi="Segoe UI" w:cs="Segoe UI"/>
          <w:color w:val="767171"/>
          <w:sz w:val="20"/>
          <w:szCs w:val="20"/>
          <w:lang w:val="en-US"/>
        </w:rPr>
        <w:t>•</w:t>
      </w:r>
      <w:r>
        <w:rPr>
          <w:rFonts w:ascii="Segoe UI" w:hAnsi="Segoe UI" w:cs="Segoe UI"/>
          <w:color w:val="3B3838"/>
          <w:sz w:val="20"/>
          <w:szCs w:val="20"/>
          <w:lang w:val="en-US"/>
        </w:rPr>
        <w:t xml:space="preserve"> Ottawa </w:t>
      </w:r>
      <w:r>
        <w:rPr>
          <w:rFonts w:ascii="Segoe UI" w:hAnsi="Segoe UI" w:cs="Segoe UI"/>
          <w:color w:val="767171"/>
          <w:sz w:val="20"/>
          <w:szCs w:val="20"/>
          <w:lang w:val="en-US"/>
        </w:rPr>
        <w:t>•</w:t>
      </w:r>
      <w:r>
        <w:rPr>
          <w:rFonts w:ascii="Segoe UI" w:hAnsi="Segoe UI" w:cs="Segoe UI"/>
          <w:color w:val="3B3838"/>
          <w:sz w:val="20"/>
          <w:szCs w:val="20"/>
          <w:lang w:val="en-US"/>
        </w:rPr>
        <w:t xml:space="preserve"> Ontario </w:t>
      </w:r>
      <w:r>
        <w:rPr>
          <w:rFonts w:ascii="Segoe UI" w:hAnsi="Segoe UI" w:cs="Segoe UI"/>
          <w:color w:val="767171"/>
          <w:sz w:val="20"/>
          <w:szCs w:val="20"/>
          <w:lang w:val="en-US"/>
        </w:rPr>
        <w:t>•</w:t>
      </w:r>
      <w:r>
        <w:rPr>
          <w:rFonts w:ascii="Segoe UI" w:hAnsi="Segoe UI" w:cs="Segoe UI"/>
          <w:color w:val="3B3838"/>
          <w:sz w:val="20"/>
          <w:szCs w:val="20"/>
          <w:lang w:val="en-US"/>
        </w:rPr>
        <w:t> K1P 6A9</w:t>
      </w:r>
    </w:p>
    <w:p w:rsidR="00FE69B6" w:rsidRDefault="00FE69B6" w:rsidP="00FE69B6">
      <w:pPr>
        <w:jc w:val="center"/>
        <w:rPr>
          <w:lang w:val="en-US"/>
        </w:rPr>
      </w:pPr>
      <w:hyperlink r:id="rId12" w:history="1">
        <w:r>
          <w:rPr>
            <w:rStyle w:val="Lienhypertexte"/>
            <w:rFonts w:ascii="Segoe UI" w:hAnsi="Segoe UI" w:cs="Segoe UI"/>
            <w:sz w:val="20"/>
            <w:szCs w:val="20"/>
            <w:lang w:val="en-US"/>
          </w:rPr>
          <w:t>questionslobbying@ocl-cal.gc.ca</w:t>
        </w:r>
      </w:hyperlink>
      <w:r>
        <w:rPr>
          <w:rFonts w:ascii="Segoe UI" w:hAnsi="Segoe UI" w:cs="Segoe UI"/>
          <w:color w:val="3B3838"/>
          <w:sz w:val="20"/>
          <w:szCs w:val="20"/>
          <w:lang w:val="en-US"/>
        </w:rPr>
        <w:t> </w:t>
      </w:r>
      <w:r>
        <w:rPr>
          <w:rFonts w:ascii="Segoe UI" w:hAnsi="Segoe UI" w:cs="Segoe UI"/>
          <w:color w:val="767171"/>
          <w:sz w:val="20"/>
          <w:szCs w:val="20"/>
          <w:lang w:val="en-US"/>
        </w:rPr>
        <w:t>•</w:t>
      </w:r>
      <w:r>
        <w:rPr>
          <w:rFonts w:ascii="Segoe UI" w:hAnsi="Segoe UI" w:cs="Segoe UI"/>
          <w:color w:val="3B3838"/>
          <w:sz w:val="20"/>
          <w:szCs w:val="20"/>
          <w:lang w:val="en-US"/>
        </w:rPr>
        <w:t> 613-957-2760 </w:t>
      </w:r>
      <w:r>
        <w:rPr>
          <w:rFonts w:ascii="Segoe UI" w:hAnsi="Segoe UI" w:cs="Segoe UI"/>
          <w:color w:val="767171"/>
          <w:sz w:val="20"/>
          <w:szCs w:val="20"/>
          <w:lang w:val="en-US"/>
        </w:rPr>
        <w:t>•</w:t>
      </w:r>
      <w:r>
        <w:rPr>
          <w:rFonts w:ascii="Segoe UI" w:hAnsi="Segoe UI" w:cs="Segoe UI"/>
          <w:color w:val="3B3838"/>
          <w:sz w:val="20"/>
          <w:szCs w:val="20"/>
          <w:lang w:val="en-US"/>
        </w:rPr>
        <w:t> </w:t>
      </w:r>
      <w:hyperlink r:id="rId13" w:history="1">
        <w:r>
          <w:rPr>
            <w:rStyle w:val="Lienhypertexte"/>
            <w:rFonts w:ascii="Segoe UI" w:hAnsi="Segoe UI" w:cs="Segoe UI"/>
            <w:sz w:val="20"/>
            <w:szCs w:val="20"/>
            <w:lang w:val="en-US"/>
          </w:rPr>
          <w:t>www.lobbycanada.gc.ca</w:t>
        </w:r>
      </w:hyperlink>
    </w:p>
    <w:p w:rsidR="00FE69B6" w:rsidRDefault="00FE69B6" w:rsidP="00FE69B6">
      <w:pPr>
        <w:autoSpaceDE/>
        <w:rPr>
          <w:lang w:val="en-US"/>
        </w:rPr>
      </w:pPr>
    </w:p>
    <w:p w:rsidR="00FE69B6" w:rsidRDefault="00FE69B6" w:rsidP="00FE69B6">
      <w:pPr>
        <w:autoSpaceDE/>
        <w:rPr>
          <w:lang w:val="en-US"/>
        </w:rPr>
      </w:pPr>
    </w:p>
    <w:p w:rsidR="00FE69B6" w:rsidRDefault="00FE69B6" w:rsidP="00FE69B6">
      <w:pPr>
        <w:autoSpaceDE/>
        <w:rPr>
          <w:lang w:val="en-GB"/>
        </w:rPr>
      </w:pPr>
      <w:bookmarkStart w:id="0" w:name="_GoBack"/>
      <w:bookmarkEnd w:id="0"/>
      <w:r>
        <w:rPr>
          <w:lang w:val="en-US"/>
        </w:rPr>
        <w:t>A</w:t>
      </w:r>
      <w:proofErr w:type="spellStart"/>
      <w:r>
        <w:rPr>
          <w:lang w:val="en-GB"/>
        </w:rPr>
        <w:t>ttachment</w:t>
      </w:r>
      <w:proofErr w:type="spellEnd"/>
    </w:p>
    <w:p w:rsidR="00FE69B6" w:rsidRDefault="00FE69B6" w:rsidP="00FE69B6">
      <w:pPr>
        <w:rPr>
          <w:lang w:val="en-GB"/>
        </w:rPr>
      </w:pPr>
    </w:p>
    <w:p w:rsidR="00FE69B6" w:rsidRDefault="00FE69B6" w:rsidP="00FE69B6">
      <w:pPr>
        <w:rPr>
          <w:rFonts w:ascii="Verdana" w:hAnsi="Verdana"/>
          <w:color w:val="003399"/>
          <w:sz w:val="22"/>
          <w:szCs w:val="22"/>
          <w:lang w:val="en-US" w:eastAsia="en-US"/>
        </w:rPr>
      </w:pPr>
    </w:p>
    <w:p w:rsidR="00FE69B6" w:rsidRDefault="00FE69B6"/>
    <w:sectPr w:rsidR="00FE69B6" w:rsidSect="00FE69B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625DC"/>
    <w:multiLevelType w:val="hybridMultilevel"/>
    <w:tmpl w:val="68CCF980"/>
    <w:lvl w:ilvl="0" w:tplc="10090001">
      <w:start w:val="1"/>
      <w:numFmt w:val="bullet"/>
      <w:lvlText w:val=""/>
      <w:lvlJc w:val="left"/>
      <w:pPr>
        <w:tabs>
          <w:tab w:val="num" w:pos="780"/>
        </w:tabs>
        <w:ind w:left="780" w:hanging="360"/>
      </w:pPr>
      <w:rPr>
        <w:rFonts w:ascii="Symbol" w:hAnsi="Symbol" w:hint="default"/>
      </w:rPr>
    </w:lvl>
    <w:lvl w:ilvl="1" w:tplc="10090003">
      <w:start w:val="1"/>
      <w:numFmt w:val="bullet"/>
      <w:lvlText w:val="o"/>
      <w:lvlJc w:val="left"/>
      <w:pPr>
        <w:tabs>
          <w:tab w:val="num" w:pos="1500"/>
        </w:tabs>
        <w:ind w:left="1500" w:hanging="360"/>
      </w:pPr>
      <w:rPr>
        <w:rFonts w:ascii="Courier New" w:hAnsi="Courier New" w:cs="Courier New" w:hint="default"/>
      </w:rPr>
    </w:lvl>
    <w:lvl w:ilvl="2" w:tplc="10090005">
      <w:start w:val="1"/>
      <w:numFmt w:val="bullet"/>
      <w:lvlText w:val=""/>
      <w:lvlJc w:val="left"/>
      <w:pPr>
        <w:tabs>
          <w:tab w:val="num" w:pos="2220"/>
        </w:tabs>
        <w:ind w:left="2220" w:hanging="360"/>
      </w:pPr>
      <w:rPr>
        <w:rFonts w:ascii="Wingdings" w:hAnsi="Wingdings" w:hint="default"/>
      </w:rPr>
    </w:lvl>
    <w:lvl w:ilvl="3" w:tplc="10090001">
      <w:start w:val="1"/>
      <w:numFmt w:val="bullet"/>
      <w:lvlText w:val=""/>
      <w:lvlJc w:val="left"/>
      <w:pPr>
        <w:tabs>
          <w:tab w:val="num" w:pos="2940"/>
        </w:tabs>
        <w:ind w:left="2940" w:hanging="360"/>
      </w:pPr>
      <w:rPr>
        <w:rFonts w:ascii="Symbol" w:hAnsi="Symbol" w:hint="default"/>
      </w:rPr>
    </w:lvl>
    <w:lvl w:ilvl="4" w:tplc="10090003">
      <w:start w:val="1"/>
      <w:numFmt w:val="bullet"/>
      <w:lvlText w:val="o"/>
      <w:lvlJc w:val="left"/>
      <w:pPr>
        <w:tabs>
          <w:tab w:val="num" w:pos="3660"/>
        </w:tabs>
        <w:ind w:left="3660" w:hanging="360"/>
      </w:pPr>
      <w:rPr>
        <w:rFonts w:ascii="Courier New" w:hAnsi="Courier New" w:cs="Courier New" w:hint="default"/>
      </w:rPr>
    </w:lvl>
    <w:lvl w:ilvl="5" w:tplc="10090005">
      <w:start w:val="1"/>
      <w:numFmt w:val="bullet"/>
      <w:lvlText w:val=""/>
      <w:lvlJc w:val="left"/>
      <w:pPr>
        <w:tabs>
          <w:tab w:val="num" w:pos="4380"/>
        </w:tabs>
        <w:ind w:left="4380" w:hanging="360"/>
      </w:pPr>
      <w:rPr>
        <w:rFonts w:ascii="Wingdings" w:hAnsi="Wingdings" w:hint="default"/>
      </w:rPr>
    </w:lvl>
    <w:lvl w:ilvl="6" w:tplc="10090001">
      <w:start w:val="1"/>
      <w:numFmt w:val="bullet"/>
      <w:lvlText w:val=""/>
      <w:lvlJc w:val="left"/>
      <w:pPr>
        <w:tabs>
          <w:tab w:val="num" w:pos="5100"/>
        </w:tabs>
        <w:ind w:left="5100" w:hanging="360"/>
      </w:pPr>
      <w:rPr>
        <w:rFonts w:ascii="Symbol" w:hAnsi="Symbol" w:hint="default"/>
      </w:rPr>
    </w:lvl>
    <w:lvl w:ilvl="7" w:tplc="10090003">
      <w:start w:val="1"/>
      <w:numFmt w:val="bullet"/>
      <w:lvlText w:val="o"/>
      <w:lvlJc w:val="left"/>
      <w:pPr>
        <w:tabs>
          <w:tab w:val="num" w:pos="5820"/>
        </w:tabs>
        <w:ind w:left="5820" w:hanging="360"/>
      </w:pPr>
      <w:rPr>
        <w:rFonts w:ascii="Courier New" w:hAnsi="Courier New" w:cs="Courier New" w:hint="default"/>
      </w:rPr>
    </w:lvl>
    <w:lvl w:ilvl="8" w:tplc="10090005">
      <w:start w:val="1"/>
      <w:numFmt w:val="bullet"/>
      <w:lvlText w:val=""/>
      <w:lvlJc w:val="left"/>
      <w:pPr>
        <w:tabs>
          <w:tab w:val="num" w:pos="6540"/>
        </w:tabs>
        <w:ind w:left="65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B6"/>
    <w:rsid w:val="00FE69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8BFDFD"/>
  <w15:chartTrackingRefBased/>
  <w15:docId w15:val="{A035E5CD-6CF4-40BB-8721-3BB1CCA6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9B6"/>
    <w:pPr>
      <w:autoSpaceDE w:val="0"/>
      <w:autoSpaceDN w:val="0"/>
      <w:spacing w:after="0" w:line="240" w:lineRule="auto"/>
    </w:pPr>
    <w:rPr>
      <w:rFonts w:ascii="Times New Roman" w:eastAsia="Times New Roman" w:hAnsi="Times New Roman" w:cs="Times New Roman"/>
      <w:sz w:val="24"/>
      <w:szCs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69B6"/>
    <w:rPr>
      <w:color w:val="0563C1"/>
      <w:u w:val="single"/>
    </w:rPr>
  </w:style>
  <w:style w:type="paragraph" w:styleId="Textedebulles">
    <w:name w:val="Balloon Text"/>
    <w:basedOn w:val="Normal"/>
    <w:link w:val="TextedebullesCar"/>
    <w:uiPriority w:val="99"/>
    <w:semiHidden/>
    <w:unhideWhenUsed/>
    <w:rsid w:val="00FE69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9B6"/>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obbycanada.gc.ca" TargetMode="External"/><Relationship Id="rId3" Type="http://schemas.openxmlformats.org/officeDocument/2006/relationships/settings" Target="settings.xml"/><Relationship Id="rId7" Type="http://schemas.openxmlformats.org/officeDocument/2006/relationships/hyperlink" Target="http://www.ocl-cal.gc.ca" TargetMode="External"/><Relationship Id="rId12" Type="http://schemas.openxmlformats.org/officeDocument/2006/relationships/hyperlink" Target="mailto:questionslobbying@ocl-cal.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bbycanada.gc.ca/eic/site/012.nsf/eng/00115.html" TargetMode="External"/><Relationship Id="rId11" Type="http://schemas.openxmlformats.org/officeDocument/2006/relationships/image" Target="cid:image004.png@01D4D97F.E7FABBF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3.png@01D4D97F.E7FABBF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cp:lastPrinted>2019-03-13T14:18:00Z</cp:lastPrinted>
  <dcterms:created xsi:type="dcterms:W3CDTF">2019-03-13T14:16:00Z</dcterms:created>
  <dcterms:modified xsi:type="dcterms:W3CDTF">2019-03-13T14:19:00Z</dcterms:modified>
</cp:coreProperties>
</file>