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E56" w:rsidRDefault="00607E56" w:rsidP="00607E56">
      <w:pPr>
        <w:spacing w:after="0" w:line="276" w:lineRule="auto"/>
        <w:textAlignment w:val="baseline"/>
        <w:outlineLvl w:val="0"/>
        <w:rPr>
          <w:rFonts w:ascii="Arial" w:eastAsia="Times New Roman" w:hAnsi="Arial" w:cs="Arial"/>
          <w:color w:val="000000"/>
          <w:kern w:val="36"/>
          <w:sz w:val="32"/>
          <w:szCs w:val="32"/>
          <w:lang w:val="en-CA" w:eastAsia="fr-CA"/>
        </w:rPr>
      </w:pPr>
      <w:r w:rsidRPr="00607E56">
        <w:rPr>
          <w:rFonts w:ascii="Arial" w:eastAsia="Times New Roman" w:hAnsi="Arial" w:cs="Arial"/>
          <w:color w:val="000000"/>
          <w:kern w:val="36"/>
          <w:sz w:val="32"/>
          <w:szCs w:val="32"/>
          <w:lang w:val="en-CA" w:eastAsia="fr-CA"/>
        </w:rPr>
        <w:t>Philip Cross: The dirty secret behind Canada’s supposedly ‘successful’ public-sector pensions</w:t>
      </w:r>
      <w:r>
        <w:rPr>
          <w:rFonts w:ascii="Arial" w:eastAsia="Times New Roman" w:hAnsi="Arial" w:cs="Arial"/>
          <w:color w:val="000000"/>
          <w:kern w:val="36"/>
          <w:sz w:val="32"/>
          <w:szCs w:val="32"/>
          <w:lang w:val="en-CA" w:eastAsia="fr-CA"/>
        </w:rPr>
        <w:t>.</w:t>
      </w:r>
    </w:p>
    <w:p w:rsidR="00607E56" w:rsidRPr="00607E56" w:rsidRDefault="00607E56" w:rsidP="00607E56">
      <w:pPr>
        <w:spacing w:after="0" w:line="276" w:lineRule="auto"/>
        <w:textAlignment w:val="baseline"/>
        <w:outlineLvl w:val="0"/>
        <w:rPr>
          <w:rFonts w:ascii="Arial" w:eastAsia="Times New Roman" w:hAnsi="Arial" w:cs="Arial"/>
          <w:color w:val="000000"/>
          <w:kern w:val="36"/>
          <w:sz w:val="32"/>
          <w:szCs w:val="32"/>
          <w:lang w:val="en-CA" w:eastAsia="fr-CA"/>
        </w:rPr>
      </w:pPr>
    </w:p>
    <w:p w:rsidR="00607E56" w:rsidRPr="00607E56" w:rsidRDefault="00607E56" w:rsidP="00607E56">
      <w:pPr>
        <w:spacing w:after="0" w:line="276" w:lineRule="auto"/>
        <w:textAlignment w:val="baseline"/>
        <w:outlineLvl w:val="1"/>
        <w:rPr>
          <w:rFonts w:ascii="Arial" w:eastAsia="Times New Roman" w:hAnsi="Arial" w:cs="Arial"/>
          <w:lang w:val="en-CA" w:eastAsia="fr-CA"/>
        </w:rPr>
      </w:pPr>
      <w:r w:rsidRPr="00607E56">
        <w:rPr>
          <w:rFonts w:ascii="Arial" w:eastAsia="Times New Roman" w:hAnsi="Arial" w:cs="Arial"/>
          <w:lang w:val="en-CA" w:eastAsia="fr-CA"/>
        </w:rPr>
        <w:t>Taxpayer subsidies are made possible by bad accounting, poor governance, imprudent risk taking and inadequate financial disclosure. It's all legal</w:t>
      </w:r>
    </w:p>
    <w:p w:rsidR="00607E56" w:rsidRPr="00607E56" w:rsidRDefault="00607E56" w:rsidP="00607E56">
      <w:pPr>
        <w:spacing w:after="0" w:line="276" w:lineRule="auto"/>
        <w:textAlignment w:val="baseline"/>
        <w:rPr>
          <w:rFonts w:ascii="Arial" w:eastAsia="Times New Roman" w:hAnsi="Arial" w:cs="Arial"/>
          <w:lang w:val="en-CA" w:eastAsia="fr-CA"/>
        </w:rPr>
      </w:pPr>
      <w:r w:rsidRPr="00607E56">
        <w:rPr>
          <w:rFonts w:ascii="Arial" w:eastAsia="Times New Roman" w:hAnsi="Arial" w:cs="Arial"/>
          <w:lang w:val="en-CA" w:eastAsia="fr-CA"/>
        </w:rPr>
        <w:t>The large and growing gap between public and private sector pensions is arguably the most striking feature of Canada’s retirement system. Defined-benefit pensions — or DB pension plans — the most sought-after and valuable workplace pensions, are now found almost exclusively in the public sector. Eighty per cent of public sector workers participate in DB pension plans. Only 10 per cent of private sector workers can make the same claim.</w:t>
      </w:r>
    </w:p>
    <w:p w:rsidR="00607E56" w:rsidRDefault="00607E56" w:rsidP="00607E56">
      <w:pPr>
        <w:spacing w:after="0" w:line="276" w:lineRule="auto"/>
        <w:textAlignment w:val="baseline"/>
        <w:rPr>
          <w:rFonts w:ascii="Arial" w:eastAsia="Times New Roman" w:hAnsi="Arial" w:cs="Arial"/>
          <w:lang w:val="en-CA" w:eastAsia="fr-CA"/>
        </w:rPr>
      </w:pPr>
    </w:p>
    <w:p w:rsidR="00607E56" w:rsidRPr="00607E56" w:rsidRDefault="00607E56" w:rsidP="00607E56">
      <w:pPr>
        <w:spacing w:after="0" w:line="276" w:lineRule="auto"/>
        <w:textAlignment w:val="baseline"/>
        <w:rPr>
          <w:rFonts w:ascii="Arial" w:eastAsia="Times New Roman" w:hAnsi="Arial" w:cs="Arial"/>
          <w:lang w:val="en-CA" w:eastAsia="fr-CA"/>
        </w:rPr>
      </w:pPr>
      <w:r w:rsidRPr="00607E56">
        <w:rPr>
          <w:rFonts w:ascii="Arial" w:eastAsia="Times New Roman" w:hAnsi="Arial" w:cs="Arial"/>
          <w:lang w:val="en-CA" w:eastAsia="fr-CA"/>
        </w:rPr>
        <w:t>The demise of private sector DB plans has been neither sudden nor surprising. Participation rates peaked in the 1980s but eventually the collapse of interest rates in the early 2000s made DB plans prohibitively expensive. They now cost more than most private sector employers are prepared to pay and more than most private sector workers believe the plans are worth.</w:t>
      </w:r>
    </w:p>
    <w:p w:rsidR="00607E56" w:rsidRDefault="00607E56" w:rsidP="00607E56">
      <w:pPr>
        <w:spacing w:after="0" w:line="276" w:lineRule="auto"/>
        <w:textAlignment w:val="baseline"/>
        <w:rPr>
          <w:rFonts w:ascii="Arial" w:eastAsia="Times New Roman" w:hAnsi="Arial" w:cs="Arial"/>
          <w:lang w:val="en-CA" w:eastAsia="fr-CA"/>
        </w:rPr>
      </w:pPr>
    </w:p>
    <w:p w:rsidR="00607E56" w:rsidRDefault="00607E56" w:rsidP="00607E56">
      <w:pPr>
        <w:spacing w:after="0" w:line="276" w:lineRule="auto"/>
        <w:textAlignment w:val="baseline"/>
        <w:rPr>
          <w:rFonts w:ascii="Arial" w:eastAsia="Times New Roman" w:hAnsi="Arial" w:cs="Arial"/>
          <w:lang w:val="en-CA" w:eastAsia="fr-CA"/>
        </w:rPr>
      </w:pPr>
      <w:r w:rsidRPr="00607E56">
        <w:rPr>
          <w:rFonts w:ascii="Arial" w:eastAsia="Times New Roman" w:hAnsi="Arial" w:cs="Arial"/>
          <w:lang w:val="en-CA" w:eastAsia="fr-CA"/>
        </w:rPr>
        <w:t>The mystery is not why DB plans have disappeared in the private sector; it is why they have continued to flourish in the public sector. If private sector employers can no longer afford even modest DB plans, how can public sector employers afford much more expensive plans — plans with larger pensions, earlier retirement and full inflation protection? This is the question Malcolm Hamilton and I looked at in a new paper, “Risk and Reward in Public Sector Pension Plans: A Taxpayer’s Perspective,” being released Thursday by the Fraser Institute.</w:t>
      </w:r>
    </w:p>
    <w:p w:rsidR="00607E56" w:rsidRPr="00607E56" w:rsidRDefault="00607E56" w:rsidP="00607E56">
      <w:pPr>
        <w:spacing w:after="0" w:line="276" w:lineRule="auto"/>
        <w:textAlignment w:val="baseline"/>
        <w:rPr>
          <w:rFonts w:ascii="Arial" w:eastAsia="Times New Roman" w:hAnsi="Arial" w:cs="Arial"/>
          <w:lang w:val="en-CA" w:eastAsia="fr-CA"/>
        </w:rPr>
      </w:pPr>
    </w:p>
    <w:p w:rsidR="00607E56" w:rsidRDefault="00607E56" w:rsidP="00607E56">
      <w:pPr>
        <w:numPr>
          <w:ilvl w:val="0"/>
          <w:numId w:val="2"/>
        </w:numPr>
        <w:spacing w:after="0" w:line="276" w:lineRule="auto"/>
        <w:textAlignment w:val="baseline"/>
        <w:rPr>
          <w:rFonts w:ascii="Arial" w:eastAsia="Times New Roman" w:hAnsi="Arial" w:cs="Arial"/>
          <w:lang w:val="en-CA" w:eastAsia="fr-CA"/>
        </w:rPr>
      </w:pPr>
      <w:hyperlink r:id="rId5" w:history="1">
        <w:r w:rsidRPr="00607E56">
          <w:rPr>
            <w:rFonts w:ascii="Arial" w:eastAsia="Times New Roman" w:hAnsi="Arial" w:cs="Arial"/>
            <w:u w:val="single"/>
            <w:bdr w:val="none" w:sz="0" w:space="0" w:color="auto" w:frame="1"/>
            <w:lang w:val="en-CA" w:eastAsia="fr-CA"/>
          </w:rPr>
          <w:t>Report sees pension solvency at 15-year-high; Liquor Stores meet capital needs</w:t>
        </w:r>
      </w:hyperlink>
    </w:p>
    <w:p w:rsidR="00607E56" w:rsidRDefault="00607E56" w:rsidP="00607E56">
      <w:pPr>
        <w:numPr>
          <w:ilvl w:val="0"/>
          <w:numId w:val="2"/>
        </w:numPr>
        <w:spacing w:after="0" w:line="276" w:lineRule="auto"/>
        <w:textAlignment w:val="baseline"/>
        <w:rPr>
          <w:rFonts w:ascii="Arial" w:eastAsia="Times New Roman" w:hAnsi="Arial" w:cs="Arial"/>
          <w:lang w:val="en-CA" w:eastAsia="fr-CA"/>
        </w:rPr>
      </w:pPr>
      <w:hyperlink r:id="rId6" w:history="1">
        <w:r w:rsidRPr="00607E56">
          <w:rPr>
            <w:rFonts w:ascii="Arial" w:eastAsia="Times New Roman" w:hAnsi="Arial" w:cs="Arial"/>
            <w:u w:val="single"/>
            <w:bdr w:val="none" w:sz="0" w:space="0" w:color="auto" w:frame="1"/>
            <w:lang w:val="en-CA" w:eastAsia="fr-CA"/>
          </w:rPr>
          <w:t>The real reason the Canada Pension Plan is lower-cost is its unaccountability</w:t>
        </w:r>
      </w:hyperlink>
    </w:p>
    <w:bookmarkStart w:id="0" w:name="_GoBack"/>
    <w:bookmarkEnd w:id="0"/>
    <w:p w:rsidR="00607E56" w:rsidRPr="00607E56" w:rsidRDefault="00607E56" w:rsidP="00607E56">
      <w:pPr>
        <w:numPr>
          <w:ilvl w:val="0"/>
          <w:numId w:val="2"/>
        </w:numPr>
        <w:spacing w:after="0" w:line="276" w:lineRule="auto"/>
        <w:textAlignment w:val="baseline"/>
        <w:rPr>
          <w:rFonts w:ascii="Arial" w:eastAsia="Times New Roman" w:hAnsi="Arial" w:cs="Arial"/>
          <w:lang w:val="en-CA" w:eastAsia="fr-CA"/>
        </w:rPr>
      </w:pPr>
      <w:r w:rsidRPr="00607E56">
        <w:rPr>
          <w:rFonts w:ascii="Arial" w:eastAsia="Times New Roman" w:hAnsi="Arial" w:cs="Arial"/>
          <w:lang w:eastAsia="fr-CA"/>
        </w:rPr>
        <w:fldChar w:fldCharType="begin"/>
      </w:r>
      <w:r w:rsidRPr="00607E56">
        <w:rPr>
          <w:rFonts w:ascii="Arial" w:eastAsia="Times New Roman" w:hAnsi="Arial" w:cs="Arial"/>
          <w:lang w:val="en-CA" w:eastAsia="fr-CA"/>
        </w:rPr>
        <w:instrText xml:space="preserve"> HYPERLINK "https://business.financialpost.com/opinion/the-canada-pension-plan-is-a-worse-deal-than-its-investment-managers-let-on" </w:instrText>
      </w:r>
      <w:r w:rsidRPr="00607E56">
        <w:rPr>
          <w:rFonts w:ascii="Arial" w:eastAsia="Times New Roman" w:hAnsi="Arial" w:cs="Arial"/>
          <w:lang w:eastAsia="fr-CA"/>
        </w:rPr>
        <w:fldChar w:fldCharType="separate"/>
      </w:r>
      <w:r w:rsidRPr="00607E56">
        <w:rPr>
          <w:rFonts w:ascii="Arial" w:eastAsia="Times New Roman" w:hAnsi="Arial" w:cs="Arial"/>
          <w:u w:val="single"/>
          <w:bdr w:val="none" w:sz="0" w:space="0" w:color="auto" w:frame="1"/>
          <w:lang w:val="en-CA" w:eastAsia="fr-CA"/>
        </w:rPr>
        <w:t>The Canada Pension Plan is a worse deal than its investment managers let on</w:t>
      </w:r>
      <w:r w:rsidRPr="00607E56">
        <w:rPr>
          <w:rFonts w:ascii="Arial" w:eastAsia="Times New Roman" w:hAnsi="Arial" w:cs="Arial"/>
          <w:lang w:eastAsia="fr-CA"/>
        </w:rPr>
        <w:fldChar w:fldCharType="end"/>
      </w:r>
    </w:p>
    <w:p w:rsidR="00607E56" w:rsidRDefault="00607E56" w:rsidP="00607E56">
      <w:pPr>
        <w:spacing w:after="0" w:line="276" w:lineRule="auto"/>
        <w:textAlignment w:val="baseline"/>
        <w:rPr>
          <w:rFonts w:ascii="Arial" w:eastAsia="Times New Roman" w:hAnsi="Arial" w:cs="Arial"/>
          <w:lang w:val="en-CA" w:eastAsia="fr-CA"/>
        </w:rPr>
      </w:pPr>
    </w:p>
    <w:p w:rsidR="00607E56" w:rsidRPr="00607E56" w:rsidRDefault="00607E56" w:rsidP="00607E56">
      <w:pPr>
        <w:spacing w:after="0" w:line="276" w:lineRule="auto"/>
        <w:textAlignment w:val="baseline"/>
        <w:rPr>
          <w:rFonts w:ascii="Arial" w:eastAsia="Times New Roman" w:hAnsi="Arial" w:cs="Arial"/>
          <w:lang w:val="en-CA" w:eastAsia="fr-CA"/>
        </w:rPr>
      </w:pPr>
      <w:r w:rsidRPr="00607E56">
        <w:rPr>
          <w:rFonts w:ascii="Arial" w:eastAsia="Times New Roman" w:hAnsi="Arial" w:cs="Arial"/>
          <w:lang w:val="en-CA" w:eastAsia="fr-CA"/>
        </w:rPr>
        <w:t xml:space="preserve">Canada’s public sector DB plans frequently cite the “Canadian Pension Model” — the </w:t>
      </w:r>
      <w:proofErr w:type="gramStart"/>
      <w:r w:rsidRPr="00607E56">
        <w:rPr>
          <w:rFonts w:ascii="Arial" w:eastAsia="Times New Roman" w:hAnsi="Arial" w:cs="Arial"/>
          <w:lang w:val="en-CA" w:eastAsia="fr-CA"/>
        </w:rPr>
        <w:t>manner in which</w:t>
      </w:r>
      <w:proofErr w:type="gramEnd"/>
      <w:r w:rsidRPr="00607E56">
        <w:rPr>
          <w:rFonts w:ascii="Arial" w:eastAsia="Times New Roman" w:hAnsi="Arial" w:cs="Arial"/>
          <w:lang w:val="en-CA" w:eastAsia="fr-CA"/>
        </w:rPr>
        <w:t xml:space="preserve"> they are organized, governed, administered, funded and invested — as the reason for their success. A recent World Bank study attributes the success of the Canadian Pension Model to superior governance, economies of scale, innovative investment practices, responsible funding, visionary leadership, high pay and other virtues too numerous to mention.</w:t>
      </w:r>
    </w:p>
    <w:p w:rsidR="00607E56" w:rsidRDefault="00607E56" w:rsidP="00607E56">
      <w:pPr>
        <w:spacing w:after="0" w:line="276" w:lineRule="auto"/>
        <w:textAlignment w:val="baseline"/>
        <w:rPr>
          <w:rFonts w:ascii="Arial" w:eastAsia="Times New Roman" w:hAnsi="Arial" w:cs="Arial"/>
          <w:lang w:val="en-CA" w:eastAsia="fr-CA"/>
        </w:rPr>
      </w:pPr>
    </w:p>
    <w:p w:rsidR="00607E56" w:rsidRPr="00607E56" w:rsidRDefault="00607E56" w:rsidP="00607E56">
      <w:pPr>
        <w:spacing w:after="0" w:line="276" w:lineRule="auto"/>
        <w:textAlignment w:val="baseline"/>
        <w:rPr>
          <w:rFonts w:ascii="Arial" w:eastAsia="Times New Roman" w:hAnsi="Arial" w:cs="Arial"/>
          <w:lang w:val="en-CA" w:eastAsia="fr-CA"/>
        </w:rPr>
      </w:pPr>
      <w:r w:rsidRPr="00607E56">
        <w:rPr>
          <w:rFonts w:ascii="Arial" w:eastAsia="Times New Roman" w:hAnsi="Arial" w:cs="Arial"/>
          <w:lang w:val="en-CA" w:eastAsia="fr-CA"/>
        </w:rPr>
        <w:t>That Canada’s public sector DB plans have done a superb job for their members is undeniable. No one would question the plans’ success; but we do question the reason for their success. It is due to large public subsidies made possible by practices that are neither admirable nor virtuous: bad accounting, poor governance, imprudent risk taking and inadequate financial disclosure.</w:t>
      </w:r>
    </w:p>
    <w:p w:rsidR="00607E56" w:rsidRDefault="00607E56" w:rsidP="00607E56">
      <w:pPr>
        <w:spacing w:after="0" w:line="276" w:lineRule="auto"/>
        <w:textAlignment w:val="baseline"/>
        <w:rPr>
          <w:rFonts w:ascii="Arial" w:eastAsia="Times New Roman" w:hAnsi="Arial" w:cs="Arial"/>
          <w:lang w:val="en-CA" w:eastAsia="fr-CA"/>
        </w:rPr>
      </w:pPr>
    </w:p>
    <w:p w:rsidR="00607E56" w:rsidRPr="00607E56" w:rsidRDefault="00607E56" w:rsidP="00607E56">
      <w:pPr>
        <w:spacing w:after="0" w:line="276" w:lineRule="auto"/>
        <w:textAlignment w:val="baseline"/>
        <w:rPr>
          <w:rFonts w:ascii="Arial" w:eastAsia="Times New Roman" w:hAnsi="Arial" w:cs="Arial"/>
          <w:lang w:val="en-CA" w:eastAsia="fr-CA"/>
        </w:rPr>
      </w:pPr>
      <w:r w:rsidRPr="00607E56">
        <w:rPr>
          <w:rFonts w:ascii="Arial" w:eastAsia="Times New Roman" w:hAnsi="Arial" w:cs="Arial"/>
          <w:lang w:val="en-CA" w:eastAsia="fr-CA"/>
        </w:rPr>
        <w:t xml:space="preserve">To be fair, the responsibility for many of these failings lies not with the pension boards who administer the plans but with the employers who sponsor them. The fault lies with public sector employers, usually governments, who fail to represent the public interest when it conflicts with the interests of their employees. This does not mean that our pension boards are entirely without blame. They have become </w:t>
      </w:r>
      <w:r w:rsidRPr="00607E56">
        <w:rPr>
          <w:rFonts w:ascii="Arial" w:eastAsia="Times New Roman" w:hAnsi="Arial" w:cs="Arial"/>
          <w:lang w:val="en-CA" w:eastAsia="fr-CA"/>
        </w:rPr>
        <w:lastRenderedPageBreak/>
        <w:t>enablers of and enthusiastic cheerleaders for a badly flawed pension system. They have grown comfortable with a success they do not understand.</w:t>
      </w:r>
    </w:p>
    <w:p w:rsidR="00607E56" w:rsidRDefault="00607E56" w:rsidP="00607E56">
      <w:pPr>
        <w:spacing w:after="0" w:line="276" w:lineRule="auto"/>
        <w:textAlignment w:val="baseline"/>
        <w:rPr>
          <w:rFonts w:ascii="Arial" w:eastAsia="Times New Roman" w:hAnsi="Arial" w:cs="Arial"/>
          <w:lang w:val="en-CA" w:eastAsia="fr-CA"/>
        </w:rPr>
      </w:pPr>
    </w:p>
    <w:p w:rsidR="00607E56" w:rsidRPr="00607E56" w:rsidRDefault="00607E56" w:rsidP="00607E56">
      <w:pPr>
        <w:spacing w:after="0" w:line="276" w:lineRule="auto"/>
        <w:textAlignment w:val="baseline"/>
        <w:rPr>
          <w:rFonts w:ascii="Arial" w:eastAsia="Times New Roman" w:hAnsi="Arial" w:cs="Arial"/>
          <w:lang w:val="en-CA" w:eastAsia="fr-CA"/>
        </w:rPr>
      </w:pPr>
      <w:r w:rsidRPr="00607E56">
        <w:rPr>
          <w:rFonts w:ascii="Arial" w:eastAsia="Times New Roman" w:hAnsi="Arial" w:cs="Arial"/>
          <w:lang w:val="en-CA" w:eastAsia="fr-CA"/>
        </w:rPr>
        <w:t xml:space="preserve">The narrative advanced by Canada’s public sector DB plans raises a perplexing question. If innovative investment strategies abetted by good governance explain their success, why don’t private sector employers adopt the Canadian Pension Model and provide comparable pensions to their employees? Our answer is that Canada’s public sector DB plans do things that private sector DB plans are prevented from doing — for good reason. </w:t>
      </w:r>
      <w:proofErr w:type="gramStart"/>
      <w:r w:rsidRPr="00607E56">
        <w:rPr>
          <w:rFonts w:ascii="Arial" w:eastAsia="Times New Roman" w:hAnsi="Arial" w:cs="Arial"/>
          <w:lang w:val="en-CA" w:eastAsia="fr-CA"/>
        </w:rPr>
        <w:t>In particular, public</w:t>
      </w:r>
      <w:proofErr w:type="gramEnd"/>
      <w:r w:rsidRPr="00607E56">
        <w:rPr>
          <w:rFonts w:ascii="Arial" w:eastAsia="Times New Roman" w:hAnsi="Arial" w:cs="Arial"/>
          <w:lang w:val="en-CA" w:eastAsia="fr-CA"/>
        </w:rPr>
        <w:t xml:space="preserve"> sector accounting standards allow public sector employers to materially misrepresent the cost of their pension plans. Private sector employers are prevented by private sector accounting standards from doing the same thing.</w:t>
      </w:r>
    </w:p>
    <w:p w:rsidR="00607E56" w:rsidRDefault="00607E56" w:rsidP="00607E56">
      <w:pPr>
        <w:spacing w:after="0" w:line="276" w:lineRule="auto"/>
        <w:textAlignment w:val="baseline"/>
        <w:rPr>
          <w:rFonts w:ascii="Arial" w:eastAsia="Times New Roman" w:hAnsi="Arial" w:cs="Arial"/>
          <w:lang w:val="en-CA" w:eastAsia="fr-CA"/>
        </w:rPr>
      </w:pPr>
    </w:p>
    <w:p w:rsidR="00607E56" w:rsidRPr="00607E56" w:rsidRDefault="00607E56" w:rsidP="00607E56">
      <w:pPr>
        <w:spacing w:after="0" w:line="276" w:lineRule="auto"/>
        <w:textAlignment w:val="baseline"/>
        <w:rPr>
          <w:rFonts w:ascii="Arial" w:eastAsia="Times New Roman" w:hAnsi="Arial" w:cs="Arial"/>
          <w:lang w:val="en-CA" w:eastAsia="fr-CA"/>
        </w:rPr>
      </w:pPr>
      <w:r w:rsidRPr="00607E56">
        <w:rPr>
          <w:rFonts w:ascii="Arial" w:eastAsia="Times New Roman" w:hAnsi="Arial" w:cs="Arial"/>
          <w:lang w:val="en-CA" w:eastAsia="fr-CA"/>
        </w:rPr>
        <w:t>Public sector accounting standards allow public sector employers to materially misrepresent the cost of their pension plans</w:t>
      </w:r>
    </w:p>
    <w:p w:rsidR="00607E56" w:rsidRDefault="00607E56" w:rsidP="00607E56">
      <w:pPr>
        <w:spacing w:after="0" w:line="276" w:lineRule="auto"/>
        <w:textAlignment w:val="baseline"/>
        <w:rPr>
          <w:rFonts w:ascii="Arial" w:eastAsia="Times New Roman" w:hAnsi="Arial" w:cs="Arial"/>
          <w:lang w:val="en-CA" w:eastAsia="fr-CA"/>
        </w:rPr>
      </w:pPr>
    </w:p>
    <w:p w:rsidR="00607E56" w:rsidRPr="00607E56" w:rsidRDefault="00607E56" w:rsidP="00607E56">
      <w:pPr>
        <w:spacing w:after="0" w:line="276" w:lineRule="auto"/>
        <w:textAlignment w:val="baseline"/>
        <w:rPr>
          <w:rFonts w:ascii="Arial" w:eastAsia="Times New Roman" w:hAnsi="Arial" w:cs="Arial"/>
          <w:lang w:val="en-CA" w:eastAsia="fr-CA"/>
        </w:rPr>
      </w:pPr>
      <w:r w:rsidRPr="00607E56">
        <w:rPr>
          <w:rFonts w:ascii="Arial" w:eastAsia="Times New Roman" w:hAnsi="Arial" w:cs="Arial"/>
          <w:lang w:val="en-CA" w:eastAsia="fr-CA"/>
        </w:rPr>
        <w:t xml:space="preserve">Taking investment risk is a legitimate tactic, </w:t>
      </w:r>
      <w:proofErr w:type="gramStart"/>
      <w:r w:rsidRPr="00607E56">
        <w:rPr>
          <w:rFonts w:ascii="Arial" w:eastAsia="Times New Roman" w:hAnsi="Arial" w:cs="Arial"/>
          <w:lang w:val="en-CA" w:eastAsia="fr-CA"/>
        </w:rPr>
        <w:t>provided that</w:t>
      </w:r>
      <w:proofErr w:type="gramEnd"/>
      <w:r w:rsidRPr="00607E56">
        <w:rPr>
          <w:rFonts w:ascii="Arial" w:eastAsia="Times New Roman" w:hAnsi="Arial" w:cs="Arial"/>
          <w:lang w:val="en-CA" w:eastAsia="fr-CA"/>
        </w:rPr>
        <w:t xml:space="preserve"> those who bear the risk also reap the reward. This is not what happens in Canada’s public sector DB plans. Consider the plans covering employees of the federal government. Plan members, whose interests are ably represented by powerful public sector unions, are handsomely rewarded for investment risk taken by their pension plans and borne by the public. The public, whose interests are poorly represented by the federal government, receives no reward for bearing this risk. To be clear, public sector accounting standards permit, but do not require, the deceptive accounting practices that make this possible. Governments </w:t>
      </w:r>
      <w:proofErr w:type="gramStart"/>
      <w:r w:rsidRPr="00607E56">
        <w:rPr>
          <w:rFonts w:ascii="Arial" w:eastAsia="Times New Roman" w:hAnsi="Arial" w:cs="Arial"/>
          <w:lang w:val="en-CA" w:eastAsia="fr-CA"/>
        </w:rPr>
        <w:t>are allowed to</w:t>
      </w:r>
      <w:proofErr w:type="gramEnd"/>
      <w:r w:rsidRPr="00607E56">
        <w:rPr>
          <w:rFonts w:ascii="Arial" w:eastAsia="Times New Roman" w:hAnsi="Arial" w:cs="Arial"/>
          <w:lang w:val="en-CA" w:eastAsia="fr-CA"/>
        </w:rPr>
        <w:t xml:space="preserve"> properly account for pension costs; they simply choose not to do so. By making this choice they subordinate the public interest to the interests of their employees.</w:t>
      </w:r>
    </w:p>
    <w:p w:rsidR="00607E56" w:rsidRDefault="00607E56" w:rsidP="00607E56">
      <w:pPr>
        <w:spacing w:after="0" w:line="276" w:lineRule="auto"/>
        <w:textAlignment w:val="baseline"/>
        <w:rPr>
          <w:rFonts w:ascii="Arial" w:eastAsia="Times New Roman" w:hAnsi="Arial" w:cs="Arial"/>
          <w:lang w:val="en-CA" w:eastAsia="fr-CA"/>
        </w:rPr>
      </w:pPr>
    </w:p>
    <w:p w:rsidR="00607E56" w:rsidRPr="00607E56" w:rsidRDefault="00607E56" w:rsidP="00607E56">
      <w:pPr>
        <w:spacing w:after="0" w:line="276" w:lineRule="auto"/>
        <w:textAlignment w:val="baseline"/>
        <w:rPr>
          <w:rFonts w:ascii="Arial" w:eastAsia="Times New Roman" w:hAnsi="Arial" w:cs="Arial"/>
          <w:lang w:val="en-CA" w:eastAsia="fr-CA"/>
        </w:rPr>
      </w:pPr>
      <w:r w:rsidRPr="00607E56">
        <w:rPr>
          <w:rFonts w:ascii="Arial" w:eastAsia="Times New Roman" w:hAnsi="Arial" w:cs="Arial"/>
          <w:lang w:val="en-CA" w:eastAsia="fr-CA"/>
        </w:rPr>
        <w:t>Public sector DB plans cite their independence from government as a key to their success, freeing them to pursue profitable policies outside the purview of politics. But this independence is a flaw, not a virtue, of public sector pension governance. The plans take investment risk to advance the interests of plan members while the interests of taxpayers, who ultimately bear this risk, are ignored. Outside the public sector this would usually be called moral hazard, not good governance.</w:t>
      </w:r>
    </w:p>
    <w:p w:rsidR="00607E56" w:rsidRDefault="00607E56" w:rsidP="00607E56">
      <w:pPr>
        <w:spacing w:after="0" w:line="276" w:lineRule="auto"/>
        <w:textAlignment w:val="baseline"/>
        <w:rPr>
          <w:rFonts w:ascii="Arial" w:eastAsia="Times New Roman" w:hAnsi="Arial" w:cs="Arial"/>
          <w:lang w:val="en-CA" w:eastAsia="fr-CA"/>
        </w:rPr>
      </w:pPr>
    </w:p>
    <w:p w:rsidR="00607E56" w:rsidRPr="00607E56" w:rsidRDefault="00607E56" w:rsidP="00607E56">
      <w:pPr>
        <w:spacing w:after="0" w:line="276" w:lineRule="auto"/>
        <w:textAlignment w:val="baseline"/>
        <w:rPr>
          <w:rFonts w:ascii="Arial" w:eastAsia="Times New Roman" w:hAnsi="Arial" w:cs="Arial"/>
          <w:lang w:val="en-CA" w:eastAsia="fr-CA"/>
        </w:rPr>
      </w:pPr>
      <w:r w:rsidRPr="00607E56">
        <w:rPr>
          <w:rFonts w:ascii="Arial" w:eastAsia="Times New Roman" w:hAnsi="Arial" w:cs="Arial"/>
          <w:lang w:val="en-CA" w:eastAsia="fr-CA"/>
        </w:rPr>
        <w:t>The assertion that Canada’s public sector pension plans have discovered a formula that makes them a model for the world to emulate warrants serious skepticism. The exceptional feature of Canada’s public sector DB plans is not “world-beating” investment strategies or good governance. It is the ability to enrich public employees by shifting large, undisclosed investment risks to taxpayers without fair compensation. By our estimate, this provides an unacknowledged $22-billion annual subsidy to Canada’s public sector DB plans and, ultimately, to the members of these plans. This large public subsidy, not the virtues of the Canadian Pension Model, explains the plans’ success. Without it, public sector DB plans would be no more viable than private sector DB plans.</w:t>
      </w:r>
    </w:p>
    <w:p w:rsidR="00607E56" w:rsidRDefault="00607E56" w:rsidP="00607E56">
      <w:pPr>
        <w:spacing w:after="0" w:line="276" w:lineRule="auto"/>
        <w:textAlignment w:val="baseline"/>
        <w:rPr>
          <w:rFonts w:ascii="Arial" w:eastAsia="Times New Roman" w:hAnsi="Arial" w:cs="Arial"/>
          <w:i/>
          <w:iCs/>
          <w:bdr w:val="none" w:sz="0" w:space="0" w:color="auto" w:frame="1"/>
          <w:lang w:val="en-CA" w:eastAsia="fr-CA"/>
        </w:rPr>
      </w:pPr>
    </w:p>
    <w:p w:rsidR="00607E56" w:rsidRPr="00607E56" w:rsidRDefault="00607E56" w:rsidP="00607E56">
      <w:pPr>
        <w:spacing w:after="0" w:line="276" w:lineRule="auto"/>
        <w:textAlignment w:val="baseline"/>
        <w:rPr>
          <w:rFonts w:ascii="Arial" w:eastAsia="Times New Roman" w:hAnsi="Arial" w:cs="Arial"/>
          <w:lang w:val="en-CA" w:eastAsia="fr-CA"/>
        </w:rPr>
      </w:pPr>
      <w:r w:rsidRPr="00607E56">
        <w:rPr>
          <w:rFonts w:ascii="Arial" w:eastAsia="Times New Roman" w:hAnsi="Arial" w:cs="Arial"/>
          <w:i/>
          <w:iCs/>
          <w:bdr w:val="none" w:sz="0" w:space="0" w:color="auto" w:frame="1"/>
          <w:lang w:val="en-CA" w:eastAsia="fr-CA"/>
        </w:rPr>
        <w:t xml:space="preserve">• Philip Cross is former chief economist of Statistics Canada. The paper can be found at </w:t>
      </w:r>
      <w:hyperlink r:id="rId7" w:history="1">
        <w:r w:rsidRPr="00607E56">
          <w:rPr>
            <w:rFonts w:ascii="Arial" w:eastAsia="Times New Roman" w:hAnsi="Arial" w:cs="Arial"/>
            <w:i/>
            <w:iCs/>
            <w:u w:val="single"/>
            <w:bdr w:val="none" w:sz="0" w:space="0" w:color="auto" w:frame="1"/>
            <w:lang w:val="en-CA" w:eastAsia="fr-CA"/>
          </w:rPr>
          <w:t>FraserInstitute.org</w:t>
        </w:r>
      </w:hyperlink>
      <w:r w:rsidRPr="00607E56">
        <w:rPr>
          <w:rFonts w:ascii="Arial" w:eastAsia="Times New Roman" w:hAnsi="Arial" w:cs="Arial"/>
          <w:i/>
          <w:iCs/>
          <w:bdr w:val="none" w:sz="0" w:space="0" w:color="auto" w:frame="1"/>
          <w:lang w:val="en-CA" w:eastAsia="fr-CA"/>
        </w:rPr>
        <w:t>.</w:t>
      </w:r>
    </w:p>
    <w:p w:rsidR="00607E56" w:rsidRPr="00607E56" w:rsidRDefault="00607E56">
      <w:pPr>
        <w:rPr>
          <w:rFonts w:ascii="Arial" w:hAnsi="Arial" w:cs="Arial"/>
          <w:lang w:val="en-CA"/>
        </w:rPr>
      </w:pPr>
    </w:p>
    <w:sectPr w:rsidR="00607E56" w:rsidRPr="00607E56" w:rsidSect="00607E56">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6F77"/>
    <w:multiLevelType w:val="multilevel"/>
    <w:tmpl w:val="065C7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785ED5"/>
    <w:multiLevelType w:val="multilevel"/>
    <w:tmpl w:val="B6F6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E56"/>
    <w:rsid w:val="00607E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1708"/>
  <w15:chartTrackingRefBased/>
  <w15:docId w15:val="{A3ABA007-DB89-420C-A7B9-3BCBBE9E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607E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607E56"/>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07E5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607E56"/>
    <w:rPr>
      <w:color w:val="0000FF"/>
      <w:u w:val="single"/>
    </w:rPr>
  </w:style>
  <w:style w:type="character" w:styleId="Accentuation">
    <w:name w:val="Emphasis"/>
    <w:basedOn w:val="Policepardfaut"/>
    <w:uiPriority w:val="20"/>
    <w:qFormat/>
    <w:rsid w:val="00607E56"/>
    <w:rPr>
      <w:i/>
      <w:iCs/>
    </w:rPr>
  </w:style>
  <w:style w:type="character" w:customStyle="1" w:styleId="Titre1Car">
    <w:name w:val="Titre 1 Car"/>
    <w:basedOn w:val="Policepardfaut"/>
    <w:link w:val="Titre1"/>
    <w:uiPriority w:val="9"/>
    <w:rsid w:val="00607E56"/>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607E56"/>
    <w:rPr>
      <w:rFonts w:ascii="Times New Roman" w:eastAsia="Times New Roman" w:hAnsi="Times New Roman" w:cs="Times New Roman"/>
      <w:b/>
      <w:bCs/>
      <w:sz w:val="36"/>
      <w:szCs w:val="36"/>
      <w:lang w:eastAsia="fr-CA"/>
    </w:rPr>
  </w:style>
  <w:style w:type="paragraph" w:styleId="Textedebulles">
    <w:name w:val="Balloon Text"/>
    <w:basedOn w:val="Normal"/>
    <w:link w:val="TextedebullesCar"/>
    <w:uiPriority w:val="99"/>
    <w:semiHidden/>
    <w:unhideWhenUsed/>
    <w:rsid w:val="00607E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7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14284">
      <w:bodyDiv w:val="1"/>
      <w:marLeft w:val="0"/>
      <w:marRight w:val="0"/>
      <w:marTop w:val="0"/>
      <w:marBottom w:val="0"/>
      <w:divBdr>
        <w:top w:val="none" w:sz="0" w:space="0" w:color="auto"/>
        <w:left w:val="none" w:sz="0" w:space="0" w:color="auto"/>
        <w:bottom w:val="none" w:sz="0" w:space="0" w:color="auto"/>
        <w:right w:val="none" w:sz="0" w:space="0" w:color="auto"/>
      </w:divBdr>
      <w:divsChild>
        <w:div w:id="490408460">
          <w:blockQuote w:val="1"/>
          <w:marLeft w:val="1106"/>
          <w:marRight w:val="1106"/>
          <w:marTop w:val="600"/>
          <w:marBottom w:val="75"/>
          <w:divBdr>
            <w:top w:val="none" w:sz="0" w:space="0" w:color="auto"/>
            <w:left w:val="none" w:sz="0" w:space="0" w:color="auto"/>
            <w:bottom w:val="none" w:sz="0" w:space="0" w:color="auto"/>
            <w:right w:val="none" w:sz="0" w:space="0" w:color="auto"/>
          </w:divBdr>
        </w:div>
        <w:div w:id="1380782482">
          <w:marLeft w:val="0"/>
          <w:marRight w:val="0"/>
          <w:marTop w:val="0"/>
          <w:marBottom w:val="600"/>
          <w:divBdr>
            <w:top w:val="none" w:sz="0" w:space="0" w:color="auto"/>
            <w:left w:val="none" w:sz="0" w:space="0" w:color="auto"/>
            <w:bottom w:val="none" w:sz="0" w:space="0" w:color="auto"/>
            <w:right w:val="none" w:sz="0" w:space="0" w:color="auto"/>
          </w:divBdr>
          <w:divsChild>
            <w:div w:id="1969507644">
              <w:marLeft w:val="0"/>
              <w:marRight w:val="0"/>
              <w:marTop w:val="0"/>
              <w:marBottom w:val="0"/>
              <w:divBdr>
                <w:top w:val="none" w:sz="0" w:space="0" w:color="auto"/>
                <w:left w:val="none" w:sz="0" w:space="0" w:color="auto"/>
                <w:bottom w:val="none" w:sz="0" w:space="0" w:color="auto"/>
                <w:right w:val="none" w:sz="0" w:space="0" w:color="auto"/>
              </w:divBdr>
            </w:div>
            <w:div w:id="5960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6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aserinstitu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siness.financialpost.com/opinion/the-real-reason-the-canada-pension-plan-is-lower-cost-is-its-unaccountability?video_autoplay=true" TargetMode="External"/><Relationship Id="rId5" Type="http://schemas.openxmlformats.org/officeDocument/2006/relationships/hyperlink" Target="https://business.financialpost.com/news/fp-street/report-sees-pension-solvency-at-15-year-high-liquor-stores-meet-capital-nee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1036</Words>
  <Characters>5703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Regimbal</dc:creator>
  <cp:keywords/>
  <dc:description/>
  <cp:lastModifiedBy>Roger Regimbal</cp:lastModifiedBy>
  <cp:revision>1</cp:revision>
  <cp:lastPrinted>2018-12-07T05:10:00Z</cp:lastPrinted>
  <dcterms:created xsi:type="dcterms:W3CDTF">2018-12-07T05:01:00Z</dcterms:created>
  <dcterms:modified xsi:type="dcterms:W3CDTF">2018-12-07T05:11:00Z</dcterms:modified>
</cp:coreProperties>
</file>