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7CEA" w14:textId="77777777" w:rsidR="0026624C" w:rsidRPr="00282BA8" w:rsidRDefault="0026624C">
      <w:pPr>
        <w:rPr>
          <w:rFonts w:ascii="Arial" w:hAnsi="Arial" w:cs="Arial"/>
          <w:color w:val="000000"/>
        </w:rPr>
      </w:pPr>
      <w:bookmarkStart w:id="0" w:name="_GoBack"/>
      <w:bookmarkEnd w:id="0"/>
    </w:p>
    <w:p w14:paraId="55FD02C2" w14:textId="73A45CBA" w:rsidR="003632EB" w:rsidRPr="00282BA8" w:rsidRDefault="009772DA" w:rsidP="009772DA">
      <w:pPr>
        <w:jc w:val="center"/>
        <w:rPr>
          <w:rFonts w:ascii="Arial" w:hAnsi="Arial" w:cs="Arial"/>
          <w:b/>
          <w:color w:val="000000"/>
        </w:rPr>
      </w:pPr>
      <w:r w:rsidRPr="00282BA8">
        <w:rPr>
          <w:rFonts w:ascii="Arial" w:hAnsi="Arial" w:cs="Arial"/>
          <w:b/>
          <w:color w:val="000000"/>
        </w:rPr>
        <w:t>Funding to Improve</w:t>
      </w:r>
      <w:r w:rsidR="003632EB" w:rsidRPr="00282BA8">
        <w:rPr>
          <w:rFonts w:ascii="Arial" w:hAnsi="Arial" w:cs="Arial"/>
          <w:b/>
          <w:color w:val="000000"/>
        </w:rPr>
        <w:t xml:space="preserve"> Access </w:t>
      </w:r>
      <w:r w:rsidRPr="00282BA8">
        <w:rPr>
          <w:rFonts w:ascii="Arial" w:hAnsi="Arial" w:cs="Arial"/>
          <w:b/>
          <w:color w:val="000000"/>
        </w:rPr>
        <w:t xml:space="preserve">by Canadians </w:t>
      </w:r>
      <w:r w:rsidR="003632EB" w:rsidRPr="00282BA8">
        <w:rPr>
          <w:rFonts w:ascii="Arial" w:hAnsi="Arial" w:cs="Arial"/>
          <w:b/>
          <w:color w:val="000000"/>
        </w:rPr>
        <w:t xml:space="preserve">to </w:t>
      </w:r>
      <w:r w:rsidR="00E8294B" w:rsidRPr="00282BA8">
        <w:rPr>
          <w:rFonts w:ascii="Arial" w:hAnsi="Arial" w:cs="Arial"/>
          <w:b/>
          <w:color w:val="000000"/>
        </w:rPr>
        <w:t>H</w:t>
      </w:r>
      <w:r w:rsidR="003632EB" w:rsidRPr="00282BA8">
        <w:rPr>
          <w:rFonts w:ascii="Arial" w:hAnsi="Arial" w:cs="Arial"/>
          <w:b/>
          <w:color w:val="000000"/>
        </w:rPr>
        <w:t xml:space="preserve">ome and </w:t>
      </w:r>
      <w:r w:rsidR="00E8294B" w:rsidRPr="00282BA8">
        <w:rPr>
          <w:rFonts w:ascii="Arial" w:hAnsi="Arial" w:cs="Arial"/>
          <w:b/>
          <w:color w:val="000000"/>
        </w:rPr>
        <w:t>C</w:t>
      </w:r>
      <w:r w:rsidR="003632EB" w:rsidRPr="00282BA8">
        <w:rPr>
          <w:rFonts w:ascii="Arial" w:hAnsi="Arial" w:cs="Arial"/>
          <w:b/>
          <w:color w:val="000000"/>
        </w:rPr>
        <w:t>ommunity</w:t>
      </w:r>
      <w:r w:rsidRPr="00282BA8">
        <w:rPr>
          <w:rFonts w:ascii="Arial" w:hAnsi="Arial" w:cs="Arial"/>
          <w:b/>
          <w:color w:val="000000"/>
        </w:rPr>
        <w:t xml:space="preserve"> Services</w:t>
      </w:r>
    </w:p>
    <w:p w14:paraId="665FBFF0" w14:textId="77777777" w:rsidR="003632EB" w:rsidRPr="00282BA8" w:rsidRDefault="003632EB">
      <w:pPr>
        <w:rPr>
          <w:rFonts w:ascii="Arial" w:hAnsi="Arial" w:cs="Arial"/>
          <w:color w:val="000000"/>
        </w:rPr>
      </w:pPr>
    </w:p>
    <w:p w14:paraId="5C78901A" w14:textId="77777777" w:rsidR="00E8294B" w:rsidRPr="00282BA8" w:rsidRDefault="008D6F62" w:rsidP="00E8294B">
      <w:pPr>
        <w:rPr>
          <w:rFonts w:ascii="Arial" w:hAnsi="Arial" w:cs="Arial"/>
          <w:color w:val="000000"/>
        </w:rPr>
      </w:pPr>
      <w:r w:rsidRPr="00282BA8">
        <w:rPr>
          <w:rFonts w:ascii="Arial" w:hAnsi="Arial" w:cs="Arial"/>
          <w:color w:val="000000"/>
        </w:rPr>
        <w:t xml:space="preserve">As associations advocating for seniors, we call for better access to health care services </w:t>
      </w:r>
      <w:r w:rsidR="00A82C31" w:rsidRPr="00282BA8">
        <w:rPr>
          <w:rFonts w:ascii="Arial" w:hAnsi="Arial" w:cs="Arial"/>
          <w:color w:val="000000"/>
        </w:rPr>
        <w:t xml:space="preserve">that </w:t>
      </w:r>
      <w:r w:rsidRPr="00282BA8">
        <w:rPr>
          <w:rFonts w:ascii="Arial" w:hAnsi="Arial" w:cs="Arial"/>
          <w:color w:val="000000"/>
        </w:rPr>
        <w:t xml:space="preserve">would enable older Canadians to remain in </w:t>
      </w:r>
      <w:r w:rsidR="009772DA" w:rsidRPr="00282BA8">
        <w:rPr>
          <w:rFonts w:ascii="Arial" w:hAnsi="Arial" w:cs="Arial"/>
          <w:color w:val="000000"/>
        </w:rPr>
        <w:t>their</w:t>
      </w:r>
      <w:r w:rsidRPr="00282BA8">
        <w:rPr>
          <w:rFonts w:ascii="Arial" w:hAnsi="Arial" w:cs="Arial"/>
          <w:color w:val="000000"/>
        </w:rPr>
        <w:t xml:space="preserve"> homes and communities, as is </w:t>
      </w:r>
      <w:r w:rsidR="009772DA" w:rsidRPr="00282BA8">
        <w:rPr>
          <w:rFonts w:ascii="Arial" w:hAnsi="Arial" w:cs="Arial"/>
          <w:color w:val="000000"/>
        </w:rPr>
        <w:t>their</w:t>
      </w:r>
      <w:r w:rsidRPr="00282BA8">
        <w:rPr>
          <w:rFonts w:ascii="Arial" w:hAnsi="Arial" w:cs="Arial"/>
          <w:color w:val="000000"/>
        </w:rPr>
        <w:t xml:space="preserve"> usual wish, and to reduce reliance on more expensive hospital infrastructure. </w:t>
      </w:r>
    </w:p>
    <w:p w14:paraId="7AFBA41E" w14:textId="77777777" w:rsidR="00E8294B" w:rsidRPr="00282BA8" w:rsidRDefault="00E8294B" w:rsidP="00E8294B">
      <w:pPr>
        <w:rPr>
          <w:rFonts w:ascii="Arial" w:hAnsi="Arial" w:cs="Arial"/>
          <w:color w:val="000000"/>
        </w:rPr>
      </w:pPr>
    </w:p>
    <w:p w14:paraId="232EA90E" w14:textId="48EFEB77" w:rsidR="00E8294B" w:rsidRPr="00282BA8" w:rsidRDefault="001C2234" w:rsidP="00E8294B">
      <w:pPr>
        <w:rPr>
          <w:rFonts w:ascii="Arial" w:hAnsi="Arial" w:cs="Arial"/>
          <w:color w:val="000000"/>
        </w:rPr>
      </w:pPr>
      <w:r w:rsidRPr="00282BA8">
        <w:rPr>
          <w:rFonts w:ascii="Arial" w:hAnsi="Arial" w:cs="Arial"/>
          <w:color w:val="000000"/>
        </w:rPr>
        <w:t xml:space="preserve">After the demise of the 10-year federal, provincial, and territorial (FPT) Health Accord </w:t>
      </w:r>
      <w:r w:rsidR="000E77DF" w:rsidRPr="00282BA8">
        <w:rPr>
          <w:rFonts w:ascii="Arial" w:hAnsi="Arial" w:cs="Arial"/>
          <w:color w:val="000000"/>
        </w:rPr>
        <w:t>in 2014</w:t>
      </w:r>
      <w:r w:rsidR="003632EB" w:rsidRPr="00282BA8">
        <w:rPr>
          <w:rFonts w:ascii="Arial" w:hAnsi="Arial" w:cs="Arial"/>
          <w:color w:val="000000"/>
        </w:rPr>
        <w:t>,</w:t>
      </w:r>
      <w:r w:rsidR="003B488C" w:rsidRPr="00282BA8">
        <w:rPr>
          <w:rFonts w:ascii="Arial" w:hAnsi="Arial" w:cs="Arial"/>
          <w:color w:val="000000"/>
        </w:rPr>
        <w:t xml:space="preserve"> </w:t>
      </w:r>
      <w:r w:rsidR="00E8294B" w:rsidRPr="00282BA8">
        <w:rPr>
          <w:rFonts w:ascii="Arial" w:hAnsi="Arial" w:cs="Arial"/>
          <w:color w:val="000000"/>
        </w:rPr>
        <w:t xml:space="preserve">and </w:t>
      </w:r>
      <w:r w:rsidR="003B488C" w:rsidRPr="00282BA8">
        <w:rPr>
          <w:rFonts w:ascii="Arial" w:hAnsi="Arial" w:cs="Arial"/>
          <w:color w:val="000000"/>
        </w:rPr>
        <w:t xml:space="preserve">with no new national accord on the horizon, </w:t>
      </w:r>
      <w:r w:rsidR="00E8294B" w:rsidRPr="00282BA8">
        <w:rPr>
          <w:rFonts w:ascii="Arial" w:hAnsi="Arial" w:cs="Arial"/>
          <w:color w:val="000000"/>
        </w:rPr>
        <w:t xml:space="preserve">the newly-elected </w:t>
      </w:r>
      <w:r w:rsidR="000E77DF" w:rsidRPr="00282BA8">
        <w:rPr>
          <w:rFonts w:ascii="Arial" w:hAnsi="Arial" w:cs="Arial"/>
          <w:color w:val="000000"/>
        </w:rPr>
        <w:t xml:space="preserve">federal government </w:t>
      </w:r>
      <w:r w:rsidR="00E8294B" w:rsidRPr="00282BA8">
        <w:rPr>
          <w:rFonts w:ascii="Arial" w:hAnsi="Arial" w:cs="Arial"/>
          <w:color w:val="000000"/>
        </w:rPr>
        <w:t>(</w:t>
      </w:r>
      <w:proofErr w:type="gramStart"/>
      <w:r w:rsidR="00E8294B" w:rsidRPr="00282BA8">
        <w:rPr>
          <w:rFonts w:ascii="Arial" w:hAnsi="Arial" w:cs="Arial"/>
          <w:color w:val="000000"/>
        </w:rPr>
        <w:t>October,</w:t>
      </w:r>
      <w:proofErr w:type="gramEnd"/>
      <w:r w:rsidR="00E8294B" w:rsidRPr="00282BA8">
        <w:rPr>
          <w:rFonts w:ascii="Arial" w:hAnsi="Arial" w:cs="Arial"/>
          <w:color w:val="000000"/>
        </w:rPr>
        <w:t xml:space="preserve"> 2015) decided to adhere to the previous government’s decision to lower the annual escalator governing the Canadian Health Care (CHC)Transfer</w:t>
      </w:r>
      <w:r w:rsidR="00B56834" w:rsidRPr="00282BA8">
        <w:rPr>
          <w:rFonts w:ascii="Arial" w:hAnsi="Arial" w:cs="Arial"/>
          <w:color w:val="000000"/>
        </w:rPr>
        <w:t xml:space="preserve">. </w:t>
      </w:r>
      <w:r w:rsidR="00E8294B" w:rsidRPr="00282BA8">
        <w:rPr>
          <w:rFonts w:ascii="Arial" w:hAnsi="Arial" w:cs="Arial"/>
          <w:color w:val="000000"/>
        </w:rPr>
        <w:t>Whereas the previous CHC Transfer was based on a</w:t>
      </w:r>
      <w:r w:rsidR="00B56834" w:rsidRPr="00282BA8">
        <w:rPr>
          <w:rFonts w:ascii="Arial" w:hAnsi="Arial" w:cs="Arial"/>
          <w:color w:val="000000"/>
        </w:rPr>
        <w:t>n</w:t>
      </w:r>
      <w:r w:rsidR="00E8294B" w:rsidRPr="00282BA8">
        <w:rPr>
          <w:rFonts w:ascii="Arial" w:hAnsi="Arial" w:cs="Arial"/>
          <w:color w:val="000000"/>
        </w:rPr>
        <w:t xml:space="preserve"> annual escalator</w:t>
      </w:r>
      <w:r w:rsidR="00B56834" w:rsidRPr="00282BA8">
        <w:rPr>
          <w:rFonts w:ascii="Arial" w:hAnsi="Arial" w:cs="Arial"/>
          <w:color w:val="000000"/>
        </w:rPr>
        <w:t xml:space="preserve"> of 6%</w:t>
      </w:r>
      <w:r w:rsidR="00E8294B" w:rsidRPr="00282BA8">
        <w:rPr>
          <w:rFonts w:ascii="Arial" w:hAnsi="Arial" w:cs="Arial"/>
          <w:color w:val="000000"/>
        </w:rPr>
        <w:t xml:space="preserve">, the government </w:t>
      </w:r>
      <w:r w:rsidR="002361A1" w:rsidRPr="00282BA8">
        <w:rPr>
          <w:rFonts w:ascii="Arial" w:hAnsi="Arial" w:cs="Arial"/>
          <w:color w:val="000000"/>
        </w:rPr>
        <w:t xml:space="preserve">in </w:t>
      </w:r>
      <w:proofErr w:type="gramStart"/>
      <w:r w:rsidR="002361A1" w:rsidRPr="00282BA8">
        <w:rPr>
          <w:rFonts w:ascii="Arial" w:hAnsi="Arial" w:cs="Arial"/>
          <w:color w:val="000000"/>
        </w:rPr>
        <w:t>March,</w:t>
      </w:r>
      <w:proofErr w:type="gramEnd"/>
      <w:r w:rsidR="002361A1" w:rsidRPr="00282BA8">
        <w:rPr>
          <w:rFonts w:ascii="Arial" w:hAnsi="Arial" w:cs="Arial"/>
          <w:color w:val="000000"/>
        </w:rPr>
        <w:t xml:space="preserve"> 2017 </w:t>
      </w:r>
      <w:r w:rsidR="002361A1" w:rsidRPr="00282BA8">
        <w:rPr>
          <w:rFonts w:ascii="Arial" w:hAnsi="Arial" w:cs="Arial"/>
          <w:color w:val="191919"/>
          <w:shd w:val="clear" w:color="auto" w:fill="FFFFFF"/>
        </w:rPr>
        <w:t xml:space="preserve">implemented a new escalator </w:t>
      </w:r>
      <w:r w:rsidR="00B56834" w:rsidRPr="00282BA8">
        <w:rPr>
          <w:rFonts w:ascii="Arial" w:hAnsi="Arial" w:cs="Arial"/>
          <w:color w:val="191919"/>
          <w:shd w:val="clear" w:color="auto" w:fill="FFFFFF"/>
        </w:rPr>
        <w:t>with a basis of</w:t>
      </w:r>
      <w:r w:rsidR="002361A1" w:rsidRPr="00282BA8">
        <w:rPr>
          <w:rFonts w:ascii="Arial" w:hAnsi="Arial" w:cs="Arial"/>
          <w:color w:val="191919"/>
          <w:shd w:val="clear" w:color="auto" w:fill="FFFFFF"/>
        </w:rPr>
        <w:t xml:space="preserve"> </w:t>
      </w:r>
      <w:r w:rsidR="00E8294B" w:rsidRPr="00282BA8">
        <w:rPr>
          <w:rFonts w:ascii="Arial" w:hAnsi="Arial" w:cs="Arial"/>
          <w:color w:val="191919"/>
          <w:shd w:val="clear" w:color="auto" w:fill="FFFFFF"/>
        </w:rPr>
        <w:t>3%</w:t>
      </w:r>
      <w:r w:rsidR="002361A1" w:rsidRPr="00282BA8">
        <w:rPr>
          <w:rFonts w:ascii="Arial" w:hAnsi="Arial" w:cs="Arial"/>
          <w:color w:val="191919"/>
          <w:shd w:val="clear" w:color="auto" w:fill="FFFFFF"/>
        </w:rPr>
        <w:t>,</w:t>
      </w:r>
      <w:r w:rsidR="00E8294B" w:rsidRPr="00282BA8">
        <w:rPr>
          <w:rFonts w:ascii="Arial" w:hAnsi="Arial" w:cs="Arial"/>
          <w:color w:val="191919"/>
          <w:shd w:val="clear" w:color="auto" w:fill="FFFFFF"/>
        </w:rPr>
        <w:t xml:space="preserve"> </w:t>
      </w:r>
      <w:r w:rsidR="002361A1" w:rsidRPr="00282BA8">
        <w:rPr>
          <w:rFonts w:ascii="Arial" w:hAnsi="Arial" w:cs="Arial"/>
          <w:color w:val="191919"/>
          <w:shd w:val="clear" w:color="auto" w:fill="FFFFFF"/>
        </w:rPr>
        <w:t>which meant that provinces and territories would in fact be receiving less funding for health care. Then</w:t>
      </w:r>
      <w:r w:rsidR="00E8294B" w:rsidRPr="00282BA8">
        <w:rPr>
          <w:rFonts w:ascii="Arial" w:hAnsi="Arial" w:cs="Arial"/>
          <w:color w:val="191919"/>
          <w:shd w:val="clear" w:color="auto" w:fill="FFFFFF"/>
        </w:rPr>
        <w:t xml:space="preserve"> </w:t>
      </w:r>
      <w:r w:rsidR="000747EC" w:rsidRPr="00282BA8">
        <w:rPr>
          <w:rFonts w:ascii="Arial" w:hAnsi="Arial" w:cs="Arial"/>
          <w:color w:val="191919"/>
          <w:shd w:val="clear" w:color="auto" w:fill="FFFFFF"/>
        </w:rPr>
        <w:t xml:space="preserve">in </w:t>
      </w:r>
      <w:r w:rsidR="000747EC" w:rsidRPr="00282BA8">
        <w:rPr>
          <w:rFonts w:ascii="Arial" w:hAnsi="Arial" w:cs="Arial"/>
          <w:color w:val="000000"/>
        </w:rPr>
        <w:t xml:space="preserve">August 2017 </w:t>
      </w:r>
      <w:r w:rsidR="002361A1" w:rsidRPr="00282BA8">
        <w:rPr>
          <w:rFonts w:ascii="Arial" w:hAnsi="Arial" w:cs="Arial"/>
          <w:color w:val="000000"/>
        </w:rPr>
        <w:t xml:space="preserve">the federal government </w:t>
      </w:r>
      <w:r w:rsidR="00E8294B" w:rsidRPr="00282BA8">
        <w:rPr>
          <w:rFonts w:ascii="Arial" w:hAnsi="Arial" w:cs="Arial"/>
          <w:color w:val="191919"/>
          <w:shd w:val="clear" w:color="auto" w:fill="FFFFFF"/>
        </w:rPr>
        <w:t xml:space="preserve">proposed </w:t>
      </w:r>
      <w:r w:rsidR="00E8294B" w:rsidRPr="00282BA8">
        <w:rPr>
          <w:rFonts w:ascii="Arial" w:hAnsi="Arial" w:cs="Arial"/>
          <w:color w:val="000000"/>
        </w:rPr>
        <w:t xml:space="preserve">to invest an additional $11 billion over a 10-year period. The </w:t>
      </w:r>
      <w:r w:rsidR="009470A1" w:rsidRPr="00282BA8">
        <w:rPr>
          <w:rFonts w:ascii="Arial" w:hAnsi="Arial" w:cs="Arial"/>
          <w:color w:val="000000"/>
        </w:rPr>
        <w:t xml:space="preserve">new </w:t>
      </w:r>
      <w:r w:rsidR="00E8294B" w:rsidRPr="00282BA8">
        <w:rPr>
          <w:rFonts w:ascii="Arial" w:hAnsi="Arial" w:cs="Arial"/>
          <w:color w:val="000000"/>
        </w:rPr>
        <w:t xml:space="preserve">funding would target two aspects of the Canadian health care system: access to mental health and addiction (MHA) services and access to home and community care (HCC). </w:t>
      </w:r>
    </w:p>
    <w:p w14:paraId="4CADA1EA" w14:textId="77777777" w:rsidR="00E8294B" w:rsidRPr="00282BA8" w:rsidRDefault="00E8294B" w:rsidP="00E8294B">
      <w:pPr>
        <w:rPr>
          <w:rFonts w:ascii="Arial" w:hAnsi="Arial" w:cs="Arial"/>
          <w:color w:val="000000"/>
        </w:rPr>
      </w:pPr>
    </w:p>
    <w:p w14:paraId="2D4C9D34" w14:textId="39BB9D0E" w:rsidR="000747EC" w:rsidRPr="00282BA8" w:rsidRDefault="000747EC" w:rsidP="000747EC">
      <w:pPr>
        <w:rPr>
          <w:rFonts w:ascii="Arial" w:hAnsi="Arial" w:cs="Arial"/>
        </w:rPr>
      </w:pPr>
      <w:r w:rsidRPr="00282BA8">
        <w:rPr>
          <w:rFonts w:ascii="Arial" w:hAnsi="Arial" w:cs="Arial"/>
          <w:color w:val="000000"/>
        </w:rPr>
        <w:t>I</w:t>
      </w:r>
      <w:r w:rsidR="00E8294B" w:rsidRPr="00282BA8">
        <w:rPr>
          <w:rFonts w:ascii="Arial" w:hAnsi="Arial" w:cs="Arial"/>
          <w:color w:val="000000"/>
        </w:rPr>
        <w:t>n a move to qualify for the additional funding, the provinces and territories, one by one, signed 10-year</w:t>
      </w:r>
      <w:r w:rsidR="002361A1" w:rsidRPr="00282BA8">
        <w:rPr>
          <w:rFonts w:ascii="Arial" w:hAnsi="Arial" w:cs="Arial"/>
          <w:color w:val="000000"/>
        </w:rPr>
        <w:t>,</w:t>
      </w:r>
      <w:r w:rsidR="00E8294B" w:rsidRPr="00282BA8">
        <w:rPr>
          <w:rFonts w:ascii="Arial" w:hAnsi="Arial" w:cs="Arial"/>
          <w:color w:val="000000"/>
        </w:rPr>
        <w:t xml:space="preserve"> bi-lateral agreements with the federal government, declaring their intention to work to </w:t>
      </w:r>
      <w:r w:rsidR="00E8294B" w:rsidRPr="00282BA8">
        <w:rPr>
          <w:rFonts w:ascii="Arial" w:hAnsi="Arial" w:cs="Arial"/>
        </w:rPr>
        <w:t>improve mental health and addiction services and home and community care</w:t>
      </w:r>
      <w:r w:rsidR="002361A1" w:rsidRPr="00282BA8">
        <w:rPr>
          <w:rFonts w:ascii="Arial" w:hAnsi="Arial" w:cs="Arial"/>
        </w:rPr>
        <w:t xml:space="preserve"> in their jurisdictions</w:t>
      </w:r>
      <w:r w:rsidR="00E8294B" w:rsidRPr="00282BA8">
        <w:rPr>
          <w:rFonts w:ascii="Arial" w:hAnsi="Arial" w:cs="Arial"/>
        </w:rPr>
        <w:t xml:space="preserve">. </w:t>
      </w:r>
      <w:r w:rsidR="002361A1" w:rsidRPr="00282BA8">
        <w:rPr>
          <w:rFonts w:ascii="Arial" w:hAnsi="Arial" w:cs="Arial"/>
          <w:color w:val="333333"/>
          <w:shd w:val="clear" w:color="auto" w:fill="F9F9F9"/>
        </w:rPr>
        <w:t>By</w:t>
      </w:r>
      <w:r w:rsidR="009470A1" w:rsidRPr="00282BA8">
        <w:rPr>
          <w:rFonts w:ascii="Arial" w:hAnsi="Arial" w:cs="Arial"/>
          <w:color w:val="333333"/>
          <w:shd w:val="clear" w:color="auto" w:fill="F9F9F9"/>
        </w:rPr>
        <w:t xml:space="preserve"> August 2017, </w:t>
      </w:r>
      <w:r w:rsidR="002361A1" w:rsidRPr="00282BA8">
        <w:rPr>
          <w:rFonts w:ascii="Arial" w:hAnsi="Arial" w:cs="Arial"/>
          <w:color w:val="333333"/>
          <w:shd w:val="clear" w:color="auto" w:fill="F9F9F9"/>
        </w:rPr>
        <w:t xml:space="preserve">all </w:t>
      </w:r>
      <w:r w:rsidR="009470A1" w:rsidRPr="00282BA8">
        <w:rPr>
          <w:rFonts w:ascii="Arial" w:hAnsi="Arial" w:cs="Arial"/>
          <w:color w:val="333333"/>
          <w:shd w:val="clear" w:color="auto" w:fill="F9F9F9"/>
        </w:rPr>
        <w:t xml:space="preserve">provinces and territories had </w:t>
      </w:r>
      <w:r w:rsidR="002361A1" w:rsidRPr="00282BA8">
        <w:rPr>
          <w:rFonts w:ascii="Arial" w:hAnsi="Arial" w:cs="Arial"/>
          <w:color w:val="333333"/>
          <w:shd w:val="clear" w:color="auto" w:fill="F9F9F9"/>
        </w:rPr>
        <w:t xml:space="preserve">formally </w:t>
      </w:r>
      <w:r w:rsidR="009470A1" w:rsidRPr="00282BA8">
        <w:rPr>
          <w:rFonts w:ascii="Arial" w:hAnsi="Arial" w:cs="Arial"/>
          <w:color w:val="333333"/>
          <w:shd w:val="clear" w:color="auto" w:fill="F9F9F9"/>
        </w:rPr>
        <w:t>accepted their share of the $11 billion in federal health funding</w:t>
      </w:r>
      <w:r w:rsidRPr="00282BA8">
        <w:rPr>
          <w:rFonts w:ascii="Arial" w:hAnsi="Arial" w:cs="Arial"/>
          <w:color w:val="333333"/>
          <w:shd w:val="clear" w:color="auto" w:fill="F9F9F9"/>
        </w:rPr>
        <w:t xml:space="preserve">, and </w:t>
      </w:r>
      <w:r w:rsidR="002361A1" w:rsidRPr="00282BA8">
        <w:rPr>
          <w:rFonts w:ascii="Arial" w:hAnsi="Arial" w:cs="Arial"/>
          <w:color w:val="333333"/>
          <w:shd w:val="clear" w:color="auto" w:fill="F9F9F9"/>
        </w:rPr>
        <w:t>endorsed</w:t>
      </w:r>
      <w:r w:rsidRPr="00282BA8">
        <w:rPr>
          <w:rFonts w:ascii="Arial" w:hAnsi="Arial" w:cs="Arial"/>
          <w:color w:val="333333"/>
          <w:shd w:val="clear" w:color="auto" w:fill="F9F9F9"/>
        </w:rPr>
        <w:t xml:space="preserve"> a </w:t>
      </w:r>
      <w:hyperlink r:id="rId7" w:history="1">
        <w:r w:rsidRPr="00282BA8">
          <w:rPr>
            <w:rFonts w:ascii="Arial" w:hAnsi="Arial" w:cs="Arial"/>
            <w:color w:val="7834BC"/>
            <w:u w:val="single"/>
          </w:rPr>
          <w:t>Common Statement of Principles on Shared Health Priorities</w:t>
        </w:r>
      </w:hyperlink>
      <w:r w:rsidRPr="00282BA8">
        <w:rPr>
          <w:rFonts w:ascii="Arial" w:hAnsi="Arial" w:cs="Arial"/>
          <w:color w:val="333333"/>
          <w:shd w:val="clear" w:color="auto" w:fill="F9F9F9"/>
        </w:rPr>
        <w:t>, which outlines common priorities for action in home and community care, and in mental health and addiction services.</w:t>
      </w:r>
    </w:p>
    <w:p w14:paraId="18D5A657" w14:textId="6D3ECC57" w:rsidR="009470A1" w:rsidRPr="00282BA8" w:rsidRDefault="009470A1" w:rsidP="009470A1">
      <w:pPr>
        <w:rPr>
          <w:rFonts w:ascii="Arial" w:hAnsi="Arial" w:cs="Arial"/>
        </w:rPr>
      </w:pPr>
    </w:p>
    <w:p w14:paraId="4CA3ABC3" w14:textId="37291A35" w:rsidR="00E8294B" w:rsidRPr="00282BA8" w:rsidRDefault="00E8294B" w:rsidP="00A82C31">
      <w:pPr>
        <w:pStyle w:val="Default"/>
      </w:pPr>
      <w:r w:rsidRPr="00282BA8">
        <w:t xml:space="preserve">The </w:t>
      </w:r>
      <w:r w:rsidR="000747EC" w:rsidRPr="00282BA8">
        <w:t>priorities</w:t>
      </w:r>
      <w:r w:rsidRPr="00282BA8">
        <w:t xml:space="preserve"> </w:t>
      </w:r>
      <w:r w:rsidR="000747EC" w:rsidRPr="00282BA8">
        <w:t xml:space="preserve">within the Statement </w:t>
      </w:r>
      <w:r w:rsidR="008D6F62" w:rsidRPr="00282BA8">
        <w:t>would inform</w:t>
      </w:r>
      <w:r w:rsidRPr="00282BA8">
        <w:t xml:space="preserve"> more detailed </w:t>
      </w:r>
      <w:r w:rsidR="008D6F62" w:rsidRPr="00282BA8">
        <w:t xml:space="preserve">bi-lateral agreements </w:t>
      </w:r>
      <w:r w:rsidR="002361A1" w:rsidRPr="00282BA8">
        <w:t xml:space="preserve">to be developed </w:t>
      </w:r>
      <w:r w:rsidR="008D6F62" w:rsidRPr="00282BA8">
        <w:t xml:space="preserve">between the federal government and the </w:t>
      </w:r>
      <w:r w:rsidR="000747EC" w:rsidRPr="00282BA8">
        <w:t xml:space="preserve">individual </w:t>
      </w:r>
      <w:r w:rsidR="008D6F62" w:rsidRPr="00282BA8">
        <w:t>provinces and territories.</w:t>
      </w:r>
      <w:r w:rsidR="00A82C31" w:rsidRPr="00282BA8">
        <w:rPr>
          <w:rStyle w:val="Appelnotedebasdep"/>
        </w:rPr>
        <w:footnoteReference w:id="1"/>
      </w:r>
      <w:r w:rsidR="002361A1" w:rsidRPr="00282BA8">
        <w:t xml:space="preserve"> </w:t>
      </w:r>
      <w:r w:rsidR="000747EC" w:rsidRPr="00282BA8">
        <w:t>The comprehensive agreements would outline specifically how each jurisdiction intended to use the funding to achieve the objectives articulated in the Statement</w:t>
      </w:r>
      <w:r w:rsidR="002361A1" w:rsidRPr="00282BA8">
        <w:t>. Each FPT jurisdiction would be expected to have its own priorities based on its unique circumstances, such as health delivery models for remote areas, limitations in data availability and infrastructure needs. P</w:t>
      </w:r>
      <w:r w:rsidR="000747EC" w:rsidRPr="00282BA8">
        <w:t>rovincial and territorial governments agreed to have their progress monitored annually in accordance with the common objectives articulated in the Statement</w:t>
      </w:r>
      <w:r w:rsidR="002361A1" w:rsidRPr="00282BA8">
        <w:t>.</w:t>
      </w:r>
    </w:p>
    <w:p w14:paraId="51E3CEF7" w14:textId="77777777" w:rsidR="00E8294B" w:rsidRPr="00282BA8" w:rsidRDefault="00E8294B" w:rsidP="00A82C31">
      <w:pPr>
        <w:pStyle w:val="Default"/>
      </w:pPr>
    </w:p>
    <w:p w14:paraId="655B664D" w14:textId="5664197E" w:rsidR="000747EC" w:rsidRPr="00282BA8" w:rsidRDefault="000747EC" w:rsidP="000747EC">
      <w:pPr>
        <w:pStyle w:val="Default"/>
      </w:pPr>
      <w:r w:rsidRPr="00282BA8">
        <w:t xml:space="preserve">It was agreed that actions related to the objectives would be guided by these principles: the FPT Health Ministers would work together to achieve the stated objectives; </w:t>
      </w:r>
      <w:r w:rsidR="002361A1" w:rsidRPr="00282BA8">
        <w:t xml:space="preserve">they would develop </w:t>
      </w:r>
      <w:r w:rsidRPr="00282BA8">
        <w:t>best practices in the targeted areas</w:t>
      </w:r>
      <w:r w:rsidR="002361A1" w:rsidRPr="00282BA8">
        <w:t xml:space="preserve">, </w:t>
      </w:r>
      <w:r w:rsidRPr="00282BA8">
        <w:t>evaluate</w:t>
      </w:r>
      <w:r w:rsidR="002361A1" w:rsidRPr="00282BA8">
        <w:t xml:space="preserve"> them</w:t>
      </w:r>
      <w:r w:rsidRPr="00282BA8">
        <w:t xml:space="preserve"> and share</w:t>
      </w:r>
      <w:r w:rsidR="002361A1" w:rsidRPr="00282BA8">
        <w:t xml:space="preserve"> them</w:t>
      </w:r>
      <w:r w:rsidRPr="00282BA8">
        <w:t xml:space="preserve"> to stimulate improvement across health systems; and </w:t>
      </w:r>
      <w:r w:rsidR="002361A1" w:rsidRPr="00282BA8">
        <w:t>they would report data,</w:t>
      </w:r>
      <w:r w:rsidRPr="00282BA8">
        <w:t xml:space="preserve"> </w:t>
      </w:r>
      <w:r w:rsidR="002361A1" w:rsidRPr="00282BA8">
        <w:t>relevant</w:t>
      </w:r>
      <w:r w:rsidRPr="00282BA8">
        <w:t xml:space="preserve"> to the stated priorities and objectives, </w:t>
      </w:r>
      <w:r w:rsidR="002361A1" w:rsidRPr="00282BA8">
        <w:t xml:space="preserve">which would allow progress to be </w:t>
      </w:r>
      <w:r w:rsidRPr="00282BA8">
        <w:t xml:space="preserve">measured by the Canadian Institute for Health Information and reported </w:t>
      </w:r>
      <w:r w:rsidR="002361A1" w:rsidRPr="00282BA8">
        <w:t xml:space="preserve">annually and </w:t>
      </w:r>
      <w:r w:rsidRPr="00282BA8">
        <w:t>transparently to Canadians.</w:t>
      </w:r>
    </w:p>
    <w:p w14:paraId="37F7B191" w14:textId="3463D71A" w:rsidR="000747EC" w:rsidRPr="00282BA8" w:rsidRDefault="000747EC" w:rsidP="000747EC">
      <w:pPr>
        <w:pStyle w:val="Default"/>
      </w:pPr>
    </w:p>
    <w:p w14:paraId="6C8AAADF" w14:textId="322CAF05" w:rsidR="002361A1" w:rsidRPr="00282BA8" w:rsidRDefault="000747EC" w:rsidP="002361A1">
      <w:pPr>
        <w:rPr>
          <w:rFonts w:ascii="Arial" w:hAnsi="Arial" w:cs="Arial"/>
        </w:rPr>
      </w:pPr>
      <w:r w:rsidRPr="00282BA8">
        <w:rPr>
          <w:rFonts w:ascii="Arial" w:hAnsi="Arial" w:cs="Arial"/>
          <w:color w:val="000000"/>
        </w:rPr>
        <w:lastRenderedPageBreak/>
        <w:t xml:space="preserve">To date, eight </w:t>
      </w:r>
      <w:r w:rsidR="002361A1" w:rsidRPr="00282BA8">
        <w:rPr>
          <w:rFonts w:ascii="Arial" w:hAnsi="Arial" w:cs="Arial"/>
        </w:rPr>
        <w:t xml:space="preserve">detailed </w:t>
      </w:r>
      <w:r w:rsidRPr="00282BA8">
        <w:rPr>
          <w:rFonts w:ascii="Arial" w:hAnsi="Arial" w:cs="Arial"/>
          <w:color w:val="000000"/>
        </w:rPr>
        <w:t>agreements between the federal government and provinces and territories</w:t>
      </w:r>
      <w:r w:rsidRPr="00282BA8">
        <w:rPr>
          <w:rFonts w:ascii="Arial" w:hAnsi="Arial" w:cs="Arial"/>
        </w:rPr>
        <w:t xml:space="preserve"> have been posted at </w:t>
      </w:r>
      <w:r w:rsidR="002361A1" w:rsidRPr="00282BA8">
        <w:rPr>
          <w:rFonts w:ascii="Arial" w:hAnsi="Arial" w:cs="Arial"/>
        </w:rPr>
        <w:t>www.canada.ca/en/health-canada/corporate/transparency/health-agreements/shared-health-priorities.html</w:t>
      </w:r>
      <w:r w:rsidRPr="00282BA8">
        <w:rPr>
          <w:rFonts w:ascii="Arial" w:hAnsi="Arial" w:cs="Arial"/>
          <w:color w:val="000000"/>
        </w:rPr>
        <w:t xml:space="preserve">. </w:t>
      </w:r>
      <w:r w:rsidR="002361A1" w:rsidRPr="00282BA8">
        <w:rPr>
          <w:rFonts w:ascii="Arial" w:hAnsi="Arial" w:cs="Arial"/>
        </w:rPr>
        <w:t xml:space="preserve">  </w:t>
      </w:r>
    </w:p>
    <w:p w14:paraId="1F72D1FE" w14:textId="12EEB3C0" w:rsidR="002361A1" w:rsidRPr="00282BA8" w:rsidRDefault="002361A1" w:rsidP="002361A1">
      <w:pPr>
        <w:rPr>
          <w:rFonts w:ascii="Arial" w:hAnsi="Arial" w:cs="Arial"/>
          <w:color w:val="000000"/>
        </w:rPr>
      </w:pPr>
    </w:p>
    <w:p w14:paraId="102F4D72" w14:textId="2CBD5935" w:rsidR="000E77DF" w:rsidRPr="00282BA8" w:rsidRDefault="00A82C31" w:rsidP="000E77DF">
      <w:pPr>
        <w:pStyle w:val="Default"/>
      </w:pPr>
      <w:r w:rsidRPr="00282BA8">
        <w:t>The</w:t>
      </w:r>
      <w:r w:rsidR="000E77DF" w:rsidRPr="00282BA8">
        <w:t xml:space="preserve"> Common Statement of Principles on Shared Health Priorities </w:t>
      </w:r>
      <w:r w:rsidRPr="00282BA8">
        <w:t>makes</w:t>
      </w:r>
      <w:r w:rsidR="008D6F62" w:rsidRPr="00282BA8">
        <w:t xml:space="preserve"> little specific reference </w:t>
      </w:r>
      <w:r w:rsidR="000E77DF" w:rsidRPr="00282BA8">
        <w:t>to the provision of mental health care access for seniors</w:t>
      </w:r>
      <w:r w:rsidR="008D6F62" w:rsidRPr="00282BA8">
        <w:t xml:space="preserve">. </w:t>
      </w:r>
      <w:r w:rsidR="000E77DF" w:rsidRPr="00282BA8">
        <w:t xml:space="preserve">Instead the priorities emphasize services for children and youth (age 10 to 25), and </w:t>
      </w:r>
      <w:r w:rsidRPr="00282BA8">
        <w:t xml:space="preserve">general </w:t>
      </w:r>
      <w:r w:rsidR="000E77DF" w:rsidRPr="00282BA8">
        <w:t xml:space="preserve">mental health care interventions as they integrate with “primary health care services . . . and community-based mental health and addiction services for people with complex health needs.” </w:t>
      </w:r>
    </w:p>
    <w:p w14:paraId="785ECEF3" w14:textId="77777777" w:rsidR="00A82C31" w:rsidRPr="00282BA8" w:rsidRDefault="00A82C31">
      <w:pPr>
        <w:rPr>
          <w:rFonts w:ascii="Arial" w:hAnsi="Arial" w:cs="Arial"/>
          <w:color w:val="000000"/>
        </w:rPr>
      </w:pPr>
    </w:p>
    <w:p w14:paraId="28349572" w14:textId="1FDE986E" w:rsidR="002361A1" w:rsidRPr="00282BA8" w:rsidRDefault="00A82C31" w:rsidP="002361A1">
      <w:pPr>
        <w:pStyle w:val="Default"/>
      </w:pPr>
      <w:r w:rsidRPr="00282BA8">
        <w:t xml:space="preserve">Given that the new bilateral agreements are not charged with addressing mental health services </w:t>
      </w:r>
      <w:r w:rsidR="002361A1" w:rsidRPr="00282BA8">
        <w:t>usually specific to</w:t>
      </w:r>
      <w:r w:rsidRPr="00282BA8">
        <w:t xml:space="preserve"> older persons, this review will examine the bilateral agreements as they focus upon </w:t>
      </w:r>
      <w:r w:rsidR="002361A1" w:rsidRPr="00282BA8">
        <w:t xml:space="preserve">services that may affect older Canadians directly:  </w:t>
      </w:r>
      <w:r w:rsidRPr="00282BA8">
        <w:t xml:space="preserve">the ways in which provinces and territories plan to improve access to home and community care and to end-of-life and palliative care services. </w:t>
      </w:r>
      <w:r w:rsidR="002361A1" w:rsidRPr="00282BA8">
        <w:t xml:space="preserve">The bi-lateral FPT agreements are of </w:t>
      </w:r>
      <w:proofErr w:type="gramStart"/>
      <w:r w:rsidR="002361A1" w:rsidRPr="00282BA8">
        <w:t>particular significance</w:t>
      </w:r>
      <w:proofErr w:type="gramEnd"/>
      <w:r w:rsidR="002361A1" w:rsidRPr="00282BA8">
        <w:t xml:space="preserve"> to us as they promise greater access to the kind of care that increases our chances of independence in later years and enhances our quality of life.</w:t>
      </w:r>
    </w:p>
    <w:p w14:paraId="17BD36EF" w14:textId="77777777" w:rsidR="002361A1" w:rsidRPr="00282BA8" w:rsidRDefault="002361A1" w:rsidP="00A82C31">
      <w:pPr>
        <w:pStyle w:val="Default"/>
      </w:pPr>
    </w:p>
    <w:p w14:paraId="17AFB7AD" w14:textId="12D4F2FF" w:rsidR="002361A1" w:rsidRPr="00282BA8" w:rsidRDefault="002361A1" w:rsidP="002361A1">
      <w:pPr>
        <w:rPr>
          <w:rFonts w:ascii="Arial" w:hAnsi="Arial" w:cs="Arial"/>
          <w:color w:val="000000"/>
        </w:rPr>
      </w:pPr>
      <w:r w:rsidRPr="00282BA8">
        <w:rPr>
          <w:rFonts w:ascii="Arial" w:hAnsi="Arial" w:cs="Arial"/>
          <w:color w:val="000000"/>
        </w:rPr>
        <w:t xml:space="preserve">In January 2018 work groups and key sector and measurement experts decided that improved access to services will be demonstrated by the following actions: </w:t>
      </w:r>
    </w:p>
    <w:p w14:paraId="4B26237D" w14:textId="77777777" w:rsidR="002361A1" w:rsidRPr="00282BA8" w:rsidRDefault="002361A1" w:rsidP="002361A1">
      <w:pPr>
        <w:rPr>
          <w:rFonts w:ascii="Arial" w:hAnsi="Arial" w:cs="Arial"/>
          <w:color w:val="000000"/>
        </w:rPr>
      </w:pPr>
    </w:p>
    <w:p w14:paraId="112C62BB" w14:textId="77777777" w:rsidR="002361A1" w:rsidRPr="00282BA8" w:rsidRDefault="002361A1" w:rsidP="002361A1">
      <w:pPr>
        <w:pStyle w:val="Default"/>
        <w:numPr>
          <w:ilvl w:val="0"/>
          <w:numId w:val="2"/>
        </w:numPr>
      </w:pPr>
      <w:r w:rsidRPr="00282BA8">
        <w:t xml:space="preserve">Selecting models that integrate and connect home and community care with primary health </w:t>
      </w:r>
      <w:proofErr w:type="gramStart"/>
      <w:r w:rsidRPr="00282BA8">
        <w:t>care, and</w:t>
      </w:r>
      <w:proofErr w:type="gramEnd"/>
      <w:r w:rsidRPr="00282BA8">
        <w:t xml:space="preserve"> spreading and scaling those models throughout the health care system. </w:t>
      </w:r>
    </w:p>
    <w:p w14:paraId="6ED45E1F" w14:textId="77777777" w:rsidR="002361A1" w:rsidRPr="00282BA8" w:rsidRDefault="002361A1" w:rsidP="002361A1">
      <w:pPr>
        <w:pStyle w:val="Default"/>
        <w:numPr>
          <w:ilvl w:val="0"/>
          <w:numId w:val="2"/>
        </w:numPr>
      </w:pPr>
      <w:r w:rsidRPr="00282BA8">
        <w:t xml:space="preserve">Enhancing access to palliative and end-of-life care at home or in hospices </w:t>
      </w:r>
    </w:p>
    <w:p w14:paraId="642BC252" w14:textId="77777777" w:rsidR="002361A1" w:rsidRPr="00282BA8" w:rsidRDefault="002361A1" w:rsidP="002361A1">
      <w:pPr>
        <w:pStyle w:val="Default"/>
        <w:numPr>
          <w:ilvl w:val="0"/>
          <w:numId w:val="2"/>
        </w:numPr>
      </w:pPr>
      <w:r w:rsidRPr="00282BA8">
        <w:t xml:space="preserve">Increasing support for caregivers </w:t>
      </w:r>
    </w:p>
    <w:p w14:paraId="7DCAB5C0" w14:textId="77777777" w:rsidR="002361A1" w:rsidRPr="00282BA8" w:rsidRDefault="002361A1" w:rsidP="002361A1">
      <w:pPr>
        <w:pStyle w:val="Default"/>
        <w:numPr>
          <w:ilvl w:val="0"/>
          <w:numId w:val="2"/>
        </w:numPr>
      </w:pPr>
      <w:r w:rsidRPr="00282BA8">
        <w:t xml:space="preserve">Enhancing home care infrastructure through digital connectivity, remote monitoring technology and facilities for community-based service delivery </w:t>
      </w:r>
    </w:p>
    <w:p w14:paraId="1CFFC11E" w14:textId="77777777" w:rsidR="002361A1" w:rsidRPr="00282BA8" w:rsidRDefault="002361A1" w:rsidP="002361A1">
      <w:pPr>
        <w:rPr>
          <w:rFonts w:ascii="Arial" w:hAnsi="Arial" w:cs="Arial"/>
          <w:color w:val="000000"/>
        </w:rPr>
      </w:pPr>
    </w:p>
    <w:p w14:paraId="231B1366" w14:textId="5932E49E" w:rsidR="002361A1" w:rsidRPr="00282BA8" w:rsidRDefault="002361A1" w:rsidP="002361A1">
      <w:pPr>
        <w:rPr>
          <w:rFonts w:ascii="Arial" w:hAnsi="Arial" w:cs="Arial"/>
          <w:color w:val="000000"/>
        </w:rPr>
      </w:pPr>
      <w:r w:rsidRPr="00282BA8">
        <w:rPr>
          <w:rFonts w:ascii="Arial" w:hAnsi="Arial" w:cs="Arial"/>
          <w:color w:val="000000"/>
        </w:rPr>
        <w:t xml:space="preserve">The work groups decided that access to home and community care, </w:t>
      </w:r>
      <w:r w:rsidRPr="00282BA8">
        <w:rPr>
          <w:rFonts w:ascii="Arial" w:hAnsi="Arial" w:cs="Arial"/>
          <w:bCs/>
          <w:color w:val="000000"/>
        </w:rPr>
        <w:t xml:space="preserve">including palliative and end-of-life care across Canadian jurisdictions, could be measured by focusing on </w:t>
      </w:r>
      <w:r w:rsidRPr="00282BA8">
        <w:rPr>
          <w:rFonts w:ascii="Arial" w:hAnsi="Arial" w:cs="Arial"/>
          <w:color w:val="000000"/>
        </w:rPr>
        <w:t xml:space="preserve">client outcomes, client and caregiver experiences, community palliative care, coordination of care, multiple contacts with the health system, unmet needs and wait times. </w:t>
      </w:r>
    </w:p>
    <w:p w14:paraId="35743C4E" w14:textId="473A453E" w:rsidR="002361A1" w:rsidRPr="00282BA8" w:rsidRDefault="002361A1" w:rsidP="002361A1">
      <w:pPr>
        <w:rPr>
          <w:rFonts w:ascii="Arial" w:hAnsi="Arial" w:cs="Arial"/>
          <w:color w:val="000000"/>
        </w:rPr>
      </w:pPr>
    </w:p>
    <w:p w14:paraId="26AAF3EB" w14:textId="1CC18233" w:rsidR="002361A1" w:rsidRPr="00282BA8" w:rsidRDefault="002361A1" w:rsidP="002361A1">
      <w:pPr>
        <w:rPr>
          <w:rFonts w:ascii="Arial" w:hAnsi="Arial" w:cs="Arial"/>
          <w:color w:val="000000"/>
        </w:rPr>
      </w:pPr>
      <w:r w:rsidRPr="00282BA8">
        <w:rPr>
          <w:rFonts w:ascii="Arial" w:hAnsi="Arial" w:cs="Arial"/>
          <w:color w:val="000000"/>
        </w:rPr>
        <w:t>It is expected that these priorities and actions will be reflected in the detailed agreements between the FPT governments.</w:t>
      </w:r>
    </w:p>
    <w:p w14:paraId="217F2B40" w14:textId="77777777" w:rsidR="002361A1" w:rsidRPr="00282BA8" w:rsidRDefault="002361A1" w:rsidP="002361A1">
      <w:pPr>
        <w:rPr>
          <w:rFonts w:ascii="Arial" w:hAnsi="Arial" w:cs="Arial"/>
          <w:color w:val="000000"/>
        </w:rPr>
      </w:pPr>
    </w:p>
    <w:p w14:paraId="3E4040F1" w14:textId="07A58A84" w:rsidR="006B3E3D" w:rsidRPr="00282BA8" w:rsidRDefault="00B56834">
      <w:pPr>
        <w:rPr>
          <w:rFonts w:ascii="Arial" w:hAnsi="Arial" w:cs="Arial"/>
        </w:rPr>
      </w:pPr>
      <w:r w:rsidRPr="00282BA8">
        <w:rPr>
          <w:rFonts w:ascii="Arial" w:hAnsi="Arial" w:cs="Arial"/>
        </w:rPr>
        <w:t>A Summary of the Bi-lateral Agreements (Appendix 1)</w:t>
      </w:r>
    </w:p>
    <w:p w14:paraId="6B08A0FC" w14:textId="77777777" w:rsidR="002361A1" w:rsidRPr="00282BA8" w:rsidRDefault="002361A1">
      <w:pPr>
        <w:rPr>
          <w:rFonts w:ascii="Arial" w:hAnsi="Arial" w:cs="Arial"/>
        </w:rPr>
      </w:pPr>
    </w:p>
    <w:sectPr w:rsidR="002361A1" w:rsidRPr="00282BA8" w:rsidSect="00282BA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76A49" w14:textId="77777777" w:rsidR="00CC360F" w:rsidRDefault="00CC360F" w:rsidP="00A82C31">
      <w:r>
        <w:separator/>
      </w:r>
    </w:p>
  </w:endnote>
  <w:endnote w:type="continuationSeparator" w:id="0">
    <w:p w14:paraId="2C87BBC0" w14:textId="77777777" w:rsidR="00CC360F" w:rsidRDefault="00CC360F" w:rsidP="00A8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3851" w14:textId="77777777" w:rsidR="008C6051" w:rsidRDefault="008C60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916A" w14:textId="77777777" w:rsidR="008C6051" w:rsidRDefault="008C605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CA43" w14:textId="77777777" w:rsidR="008C6051" w:rsidRDefault="008C60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7BE3C" w14:textId="77777777" w:rsidR="00CC360F" w:rsidRDefault="00CC360F" w:rsidP="00A82C31">
      <w:r>
        <w:separator/>
      </w:r>
    </w:p>
  </w:footnote>
  <w:footnote w:type="continuationSeparator" w:id="0">
    <w:p w14:paraId="4A7119AA" w14:textId="77777777" w:rsidR="00CC360F" w:rsidRDefault="00CC360F" w:rsidP="00A82C31">
      <w:r>
        <w:continuationSeparator/>
      </w:r>
    </w:p>
  </w:footnote>
  <w:footnote w:id="1">
    <w:p w14:paraId="4190A3A7" w14:textId="77777777" w:rsidR="00A82C31" w:rsidRPr="000E77DF" w:rsidRDefault="00A82C31" w:rsidP="00A82C31">
      <w:pPr>
        <w:rPr>
          <w:color w:val="000000"/>
        </w:rPr>
      </w:pPr>
      <w:r>
        <w:rPr>
          <w:rStyle w:val="Appelnotedebasdep"/>
        </w:rPr>
        <w:footnoteRef/>
      </w:r>
      <w:r>
        <w:t xml:space="preserve"> </w:t>
      </w:r>
      <w:r w:rsidRPr="000E77DF">
        <w:rPr>
          <w:color w:val="000000"/>
        </w:rPr>
        <w:t>a report by the Canadian Institute for Health Information. 2018</w:t>
      </w:r>
    </w:p>
    <w:p w14:paraId="64E321B2" w14:textId="77777777" w:rsidR="00A82C31" w:rsidRDefault="00A82C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F19A1" w14:textId="3D4179A4" w:rsidR="008C6051" w:rsidRDefault="00282BA8">
    <w:pPr>
      <w:pStyle w:val="En-tte"/>
    </w:pPr>
    <w:r>
      <w:rPr>
        <w:noProof/>
      </w:rPr>
      <w:pict w14:anchorId="13E45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red" stroked="f">
          <v:fill opacity="24248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2294" w14:textId="480BF454" w:rsidR="008C6051" w:rsidRDefault="00282BA8">
    <w:pPr>
      <w:pStyle w:val="En-tte"/>
    </w:pPr>
    <w:r>
      <w:rPr>
        <w:noProof/>
      </w:rPr>
      <w:pict w14:anchorId="0DA924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red" stroked="f">
          <v:fill opacity="24248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7DBF" w14:textId="41E15D99" w:rsidR="008C6051" w:rsidRDefault="00282BA8">
    <w:pPr>
      <w:pStyle w:val="En-tte"/>
    </w:pPr>
    <w:r>
      <w:rPr>
        <w:noProof/>
      </w:rPr>
      <w:pict w14:anchorId="7DD08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red" stroked="f">
          <v:fill opacity="24248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41F2"/>
    <w:multiLevelType w:val="hybridMultilevel"/>
    <w:tmpl w:val="66D46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A70BC"/>
    <w:multiLevelType w:val="hybridMultilevel"/>
    <w:tmpl w:val="FE70C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A61F7"/>
    <w:multiLevelType w:val="multilevel"/>
    <w:tmpl w:val="F292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25101"/>
    <w:multiLevelType w:val="multilevel"/>
    <w:tmpl w:val="C03E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D6652"/>
    <w:multiLevelType w:val="hybridMultilevel"/>
    <w:tmpl w:val="7FB49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537712"/>
    <w:multiLevelType w:val="hybridMultilevel"/>
    <w:tmpl w:val="349824D6"/>
    <w:lvl w:ilvl="0" w:tplc="282A2E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FB575B"/>
    <w:multiLevelType w:val="hybridMultilevel"/>
    <w:tmpl w:val="311EA04A"/>
    <w:lvl w:ilvl="0" w:tplc="282A2E98">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D24B44"/>
    <w:multiLevelType w:val="hybridMultilevel"/>
    <w:tmpl w:val="572C9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F59DA"/>
    <w:multiLevelType w:val="hybridMultilevel"/>
    <w:tmpl w:val="820206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8"/>
  </w:num>
  <w:num w:numId="5">
    <w:abstractNumId w:val="5"/>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EB"/>
    <w:rsid w:val="000747EC"/>
    <w:rsid w:val="000E77DF"/>
    <w:rsid w:val="001C2234"/>
    <w:rsid w:val="002361A1"/>
    <w:rsid w:val="0026624C"/>
    <w:rsid w:val="00282BA8"/>
    <w:rsid w:val="003632EB"/>
    <w:rsid w:val="003B488C"/>
    <w:rsid w:val="003B4EDA"/>
    <w:rsid w:val="006B3E3D"/>
    <w:rsid w:val="008874E2"/>
    <w:rsid w:val="008C6051"/>
    <w:rsid w:val="008D6F62"/>
    <w:rsid w:val="009470A1"/>
    <w:rsid w:val="009772DA"/>
    <w:rsid w:val="00A82C31"/>
    <w:rsid w:val="00B56834"/>
    <w:rsid w:val="00CC360F"/>
    <w:rsid w:val="00E8294B"/>
    <w:rsid w:val="00F707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517E3"/>
  <w15:chartTrackingRefBased/>
  <w15:docId w15:val="{96D089F6-23A3-AC46-AC1B-592CB0DC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7EC"/>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7">
    <w:name w:val="A7"/>
    <w:uiPriority w:val="99"/>
    <w:rsid w:val="003632EB"/>
    <w:rPr>
      <w:color w:val="000000"/>
      <w:sz w:val="12"/>
      <w:szCs w:val="12"/>
    </w:rPr>
  </w:style>
  <w:style w:type="paragraph" w:customStyle="1" w:styleId="Default">
    <w:name w:val="Default"/>
    <w:rsid w:val="001C2234"/>
    <w:pPr>
      <w:autoSpaceDE w:val="0"/>
      <w:autoSpaceDN w:val="0"/>
      <w:adjustRightInd w:val="0"/>
    </w:pPr>
    <w:rPr>
      <w:rFonts w:ascii="Arial" w:hAnsi="Arial" w:cs="Arial"/>
      <w:color w:val="000000"/>
      <w:lang w:val="en-US"/>
    </w:rPr>
  </w:style>
  <w:style w:type="paragraph" w:styleId="Paragraphedeliste">
    <w:name w:val="List Paragraph"/>
    <w:basedOn w:val="Normal"/>
    <w:uiPriority w:val="34"/>
    <w:qFormat/>
    <w:rsid w:val="001C2234"/>
    <w:pPr>
      <w:ind w:left="720"/>
      <w:contextualSpacing/>
    </w:pPr>
    <w:rPr>
      <w:rFonts w:asciiTheme="minorHAnsi" w:eastAsiaTheme="minorHAnsi" w:hAnsiTheme="minorHAnsi" w:cstheme="minorBidi"/>
    </w:rPr>
  </w:style>
  <w:style w:type="paragraph" w:styleId="Notedebasdepage">
    <w:name w:val="footnote text"/>
    <w:basedOn w:val="Normal"/>
    <w:link w:val="NotedebasdepageCar"/>
    <w:uiPriority w:val="99"/>
    <w:semiHidden/>
    <w:unhideWhenUsed/>
    <w:rsid w:val="00A82C31"/>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A82C31"/>
    <w:rPr>
      <w:sz w:val="20"/>
      <w:szCs w:val="20"/>
    </w:rPr>
  </w:style>
  <w:style w:type="character" w:styleId="Appelnotedebasdep">
    <w:name w:val="footnote reference"/>
    <w:basedOn w:val="Policepardfaut"/>
    <w:uiPriority w:val="99"/>
    <w:semiHidden/>
    <w:unhideWhenUsed/>
    <w:rsid w:val="00A82C31"/>
    <w:rPr>
      <w:vertAlign w:val="superscript"/>
    </w:rPr>
  </w:style>
  <w:style w:type="paragraph" w:styleId="NormalWeb">
    <w:name w:val="Normal (Web)"/>
    <w:basedOn w:val="Normal"/>
    <w:uiPriority w:val="99"/>
    <w:semiHidden/>
    <w:unhideWhenUsed/>
    <w:rsid w:val="0026624C"/>
    <w:pPr>
      <w:spacing w:before="100" w:beforeAutospacing="1" w:after="100" w:afterAutospacing="1"/>
    </w:pPr>
  </w:style>
  <w:style w:type="character" w:styleId="Lienhypertexte">
    <w:name w:val="Hyperlink"/>
    <w:basedOn w:val="Policepardfaut"/>
    <w:uiPriority w:val="99"/>
    <w:semiHidden/>
    <w:unhideWhenUsed/>
    <w:rsid w:val="0026624C"/>
    <w:rPr>
      <w:color w:val="0000FF"/>
      <w:u w:val="single"/>
    </w:rPr>
  </w:style>
  <w:style w:type="character" w:customStyle="1" w:styleId="apple-converted-space">
    <w:name w:val="apple-converted-space"/>
    <w:basedOn w:val="Policepardfaut"/>
    <w:rsid w:val="0026624C"/>
  </w:style>
  <w:style w:type="paragraph" w:styleId="En-tte">
    <w:name w:val="header"/>
    <w:basedOn w:val="Normal"/>
    <w:link w:val="En-tteCar"/>
    <w:uiPriority w:val="99"/>
    <w:unhideWhenUsed/>
    <w:rsid w:val="008C6051"/>
    <w:pPr>
      <w:tabs>
        <w:tab w:val="center" w:pos="4680"/>
        <w:tab w:val="right" w:pos="9360"/>
      </w:tabs>
    </w:pPr>
  </w:style>
  <w:style w:type="character" w:customStyle="1" w:styleId="En-tteCar">
    <w:name w:val="En-tête Car"/>
    <w:basedOn w:val="Policepardfaut"/>
    <w:link w:val="En-tte"/>
    <w:uiPriority w:val="99"/>
    <w:rsid w:val="008C6051"/>
    <w:rPr>
      <w:rFonts w:ascii="Times New Roman" w:eastAsia="Times New Roman" w:hAnsi="Times New Roman" w:cs="Times New Roman"/>
    </w:rPr>
  </w:style>
  <w:style w:type="paragraph" w:styleId="Pieddepage">
    <w:name w:val="footer"/>
    <w:basedOn w:val="Normal"/>
    <w:link w:val="PieddepageCar"/>
    <w:uiPriority w:val="99"/>
    <w:unhideWhenUsed/>
    <w:rsid w:val="008C6051"/>
    <w:pPr>
      <w:tabs>
        <w:tab w:val="center" w:pos="4680"/>
        <w:tab w:val="right" w:pos="9360"/>
      </w:tabs>
    </w:pPr>
  </w:style>
  <w:style w:type="character" w:customStyle="1" w:styleId="PieddepageCar">
    <w:name w:val="Pied de page Car"/>
    <w:basedOn w:val="Policepardfaut"/>
    <w:link w:val="Pieddepage"/>
    <w:uiPriority w:val="99"/>
    <w:rsid w:val="008C6051"/>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282B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2B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129979">
      <w:bodyDiv w:val="1"/>
      <w:marLeft w:val="0"/>
      <w:marRight w:val="0"/>
      <w:marTop w:val="0"/>
      <w:marBottom w:val="0"/>
      <w:divBdr>
        <w:top w:val="none" w:sz="0" w:space="0" w:color="auto"/>
        <w:left w:val="none" w:sz="0" w:space="0" w:color="auto"/>
        <w:bottom w:val="none" w:sz="0" w:space="0" w:color="auto"/>
        <w:right w:val="none" w:sz="0" w:space="0" w:color="auto"/>
      </w:divBdr>
    </w:div>
    <w:div w:id="742339197">
      <w:bodyDiv w:val="1"/>
      <w:marLeft w:val="0"/>
      <w:marRight w:val="0"/>
      <w:marTop w:val="0"/>
      <w:marBottom w:val="0"/>
      <w:divBdr>
        <w:top w:val="none" w:sz="0" w:space="0" w:color="auto"/>
        <w:left w:val="none" w:sz="0" w:space="0" w:color="auto"/>
        <w:bottom w:val="none" w:sz="0" w:space="0" w:color="auto"/>
        <w:right w:val="none" w:sz="0" w:space="0" w:color="auto"/>
      </w:divBdr>
    </w:div>
    <w:div w:id="1025986874">
      <w:bodyDiv w:val="1"/>
      <w:marLeft w:val="0"/>
      <w:marRight w:val="0"/>
      <w:marTop w:val="0"/>
      <w:marBottom w:val="0"/>
      <w:divBdr>
        <w:top w:val="none" w:sz="0" w:space="0" w:color="auto"/>
        <w:left w:val="none" w:sz="0" w:space="0" w:color="auto"/>
        <w:bottom w:val="none" w:sz="0" w:space="0" w:color="auto"/>
        <w:right w:val="none" w:sz="0" w:space="0" w:color="auto"/>
      </w:divBdr>
    </w:div>
    <w:div w:id="1123772620">
      <w:bodyDiv w:val="1"/>
      <w:marLeft w:val="0"/>
      <w:marRight w:val="0"/>
      <w:marTop w:val="0"/>
      <w:marBottom w:val="0"/>
      <w:divBdr>
        <w:top w:val="none" w:sz="0" w:space="0" w:color="auto"/>
        <w:left w:val="none" w:sz="0" w:space="0" w:color="auto"/>
        <w:bottom w:val="none" w:sz="0" w:space="0" w:color="auto"/>
        <w:right w:val="none" w:sz="0" w:space="0" w:color="auto"/>
      </w:divBdr>
    </w:div>
    <w:div w:id="1167669431">
      <w:bodyDiv w:val="1"/>
      <w:marLeft w:val="0"/>
      <w:marRight w:val="0"/>
      <w:marTop w:val="0"/>
      <w:marBottom w:val="0"/>
      <w:divBdr>
        <w:top w:val="none" w:sz="0" w:space="0" w:color="auto"/>
        <w:left w:val="none" w:sz="0" w:space="0" w:color="auto"/>
        <w:bottom w:val="none" w:sz="0" w:space="0" w:color="auto"/>
        <w:right w:val="none" w:sz="0" w:space="0" w:color="auto"/>
      </w:divBdr>
    </w:div>
    <w:div w:id="146449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corporate/transparency/health-agreements/principles-shared-health-prioritie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855</Words>
  <Characters>4706</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Lauber</dc:creator>
  <cp:keywords/>
  <dc:description/>
  <cp:lastModifiedBy>Roger Regimbal</cp:lastModifiedBy>
  <cp:revision>2</cp:revision>
  <cp:lastPrinted>2019-01-10T03:09:00Z</cp:lastPrinted>
  <dcterms:created xsi:type="dcterms:W3CDTF">2019-01-10T03:12:00Z</dcterms:created>
  <dcterms:modified xsi:type="dcterms:W3CDTF">2019-01-10T03:12:00Z</dcterms:modified>
</cp:coreProperties>
</file>