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33" w:rsidRDefault="009A3E85" w:rsidP="00407433">
      <w:pPr>
        <w:spacing w:after="0"/>
        <w:jc w:val="center"/>
        <w:rPr>
          <w:rFonts w:ascii="Helvetica" w:hAnsi="Helvetica" w:cs="Helvetica"/>
          <w:b/>
          <w:bCs/>
          <w:color w:val="000080"/>
          <w:szCs w:val="24"/>
        </w:rPr>
      </w:pPr>
      <w:r>
        <w:rPr>
          <w:rFonts w:ascii="Segoe Print" w:hAnsi="Segoe Print" w:cs="Segoe Print"/>
          <w:noProof/>
          <w:sz w:val="20"/>
          <w:szCs w:val="20"/>
          <w:lang w:eastAsia="fr-CA"/>
        </w:rPr>
        <w:drawing>
          <wp:inline distT="0" distB="0" distL="0" distR="0">
            <wp:extent cx="1020505" cy="6858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R-CART_Logo-March2015-High Resolution-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2276" cy="686990"/>
                    </a:xfrm>
                    <a:prstGeom prst="rect">
                      <a:avLst/>
                    </a:prstGeom>
                  </pic:spPr>
                </pic:pic>
              </a:graphicData>
            </a:graphic>
          </wp:inline>
        </w:drawing>
      </w:r>
    </w:p>
    <w:p w:rsidR="00407433" w:rsidRPr="00407433" w:rsidRDefault="00407433" w:rsidP="00407433">
      <w:pPr>
        <w:spacing w:after="0"/>
        <w:jc w:val="center"/>
        <w:rPr>
          <w:rFonts w:cs="Arial"/>
          <w:szCs w:val="24"/>
        </w:rPr>
      </w:pPr>
      <w:r w:rsidRPr="00407433">
        <w:rPr>
          <w:rFonts w:cs="Arial"/>
          <w:b/>
          <w:bCs/>
          <w:color w:val="000080"/>
          <w:szCs w:val="24"/>
        </w:rPr>
        <w:t>Association canadienne des enseignantes et des enseignants retraités</w:t>
      </w:r>
    </w:p>
    <w:p w:rsidR="00407433" w:rsidRPr="009C5D65" w:rsidRDefault="00407433" w:rsidP="00407433">
      <w:pPr>
        <w:pStyle w:val="En-tte"/>
        <w:jc w:val="center"/>
        <w:rPr>
          <w:szCs w:val="24"/>
          <w:lang w:val="en-CA"/>
        </w:rPr>
      </w:pPr>
      <w:r w:rsidRPr="00407433">
        <w:rPr>
          <w:rFonts w:cs="Arial"/>
          <w:b/>
          <w:bCs/>
          <w:color w:val="000080"/>
          <w:szCs w:val="24"/>
          <w:lang w:val="en-CA"/>
        </w:rPr>
        <w:t>Canadian Association of Retired Teachers</w:t>
      </w:r>
    </w:p>
    <w:p w:rsidR="00407433" w:rsidRDefault="00407433" w:rsidP="00407433">
      <w:pPr>
        <w:pStyle w:val="En-tte"/>
        <w:rPr>
          <w:sz w:val="20"/>
          <w:szCs w:val="20"/>
          <w:lang w:val="en-CA"/>
        </w:rPr>
      </w:pPr>
    </w:p>
    <w:p w:rsidR="00496338" w:rsidRPr="00496338" w:rsidRDefault="00496338" w:rsidP="00496338">
      <w:pPr>
        <w:pStyle w:val="En-tte"/>
        <w:rPr>
          <w:sz w:val="22"/>
          <w:lang w:val="en-CA"/>
        </w:rPr>
      </w:pPr>
    </w:p>
    <w:p w:rsidR="00496338" w:rsidRPr="00F07319" w:rsidRDefault="00496338" w:rsidP="00496338">
      <w:pPr>
        <w:pStyle w:val="En-tte"/>
        <w:jc w:val="center"/>
        <w:rPr>
          <w:sz w:val="28"/>
          <w:szCs w:val="28"/>
          <w:lang w:val="en-CA"/>
        </w:rPr>
      </w:pPr>
      <w:r w:rsidRPr="00F07319">
        <w:rPr>
          <w:sz w:val="28"/>
          <w:szCs w:val="28"/>
          <w:lang w:val="en-CA"/>
        </w:rPr>
        <w:t>Brian Day - Le procès continue</w:t>
      </w:r>
    </w:p>
    <w:p w:rsidR="00496338" w:rsidRPr="00F07319" w:rsidRDefault="00496338" w:rsidP="00496338">
      <w:pPr>
        <w:pStyle w:val="En-tte"/>
        <w:rPr>
          <w:sz w:val="22"/>
          <w:lang w:val="en-CA"/>
        </w:rPr>
      </w:pPr>
    </w:p>
    <w:p w:rsidR="00496338" w:rsidRPr="00496338" w:rsidRDefault="00496338" w:rsidP="00496338">
      <w:pPr>
        <w:pStyle w:val="En-tte"/>
        <w:rPr>
          <w:sz w:val="22"/>
        </w:rPr>
      </w:pPr>
      <w:r w:rsidRPr="00496338">
        <w:rPr>
          <w:sz w:val="22"/>
        </w:rPr>
        <w:t>Nous sommes le 15</w:t>
      </w:r>
      <w:r>
        <w:rPr>
          <w:sz w:val="22"/>
        </w:rPr>
        <w:t> </w:t>
      </w:r>
      <w:r w:rsidRPr="00496338">
        <w:rPr>
          <w:sz w:val="22"/>
        </w:rPr>
        <w:t>mai 2019 et Twitter est en flammes. De nombreux tweets s</w:t>
      </w:r>
      <w:r>
        <w:rPr>
          <w:sz w:val="22"/>
        </w:rPr>
        <w:t>’</w:t>
      </w:r>
      <w:r w:rsidRPr="00496338">
        <w:rPr>
          <w:sz w:val="22"/>
        </w:rPr>
        <w:t xml:space="preserve">inquiètent lorsque le premier ministre, Doug Ford, annonce de nouvelles réductions dans le secteur de la santé publique, laissant présager une privatisation des services de santé. </w:t>
      </w:r>
      <w:r>
        <w:rPr>
          <w:sz w:val="22"/>
        </w:rPr>
        <w:t>L</w:t>
      </w:r>
      <w:r w:rsidRPr="00496338">
        <w:rPr>
          <w:sz w:val="22"/>
        </w:rPr>
        <w:t xml:space="preserve">es autres sont tout aussi inquiets que le premier ministre Jason </w:t>
      </w:r>
      <w:proofErr w:type="spellStart"/>
      <w:r w:rsidRPr="00496338">
        <w:rPr>
          <w:sz w:val="22"/>
        </w:rPr>
        <w:t>Kenney</w:t>
      </w:r>
      <w:proofErr w:type="spellEnd"/>
      <w:r w:rsidRPr="00496338">
        <w:rPr>
          <w:sz w:val="22"/>
        </w:rPr>
        <w:t xml:space="preserve">, en Alberta, réduise ce qui est déjà l’un des taux d’imposition des sociétés les plus bas au pays - les revenus des provinces </w:t>
      </w:r>
      <w:r>
        <w:rPr>
          <w:sz w:val="22"/>
        </w:rPr>
        <w:t xml:space="preserve">ne </w:t>
      </w:r>
      <w:r w:rsidRPr="00496338">
        <w:rPr>
          <w:sz w:val="22"/>
        </w:rPr>
        <w:t xml:space="preserve">devraient-ils </w:t>
      </w:r>
      <w:r>
        <w:rPr>
          <w:sz w:val="22"/>
        </w:rPr>
        <w:t xml:space="preserve">pas </w:t>
      </w:r>
      <w:r w:rsidRPr="00496338">
        <w:rPr>
          <w:sz w:val="22"/>
        </w:rPr>
        <w:t>être remplacés par des réductions similaires de la prestation des soins de santé et une éventuelle privatisation</w:t>
      </w:r>
      <w:r>
        <w:rPr>
          <w:sz w:val="22"/>
        </w:rPr>
        <w:t> </w:t>
      </w:r>
      <w:r w:rsidRPr="00496338">
        <w:rPr>
          <w:sz w:val="22"/>
        </w:rPr>
        <w:t>?</w:t>
      </w:r>
    </w:p>
    <w:p w:rsidR="00496338" w:rsidRPr="00496338" w:rsidRDefault="00496338" w:rsidP="00496338">
      <w:pPr>
        <w:pStyle w:val="En-tte"/>
        <w:rPr>
          <w:sz w:val="22"/>
        </w:rPr>
      </w:pPr>
    </w:p>
    <w:p w:rsidR="00496338" w:rsidRPr="00496338" w:rsidRDefault="00496338" w:rsidP="00496338">
      <w:pPr>
        <w:pStyle w:val="En-tte"/>
        <w:rPr>
          <w:sz w:val="22"/>
        </w:rPr>
      </w:pPr>
      <w:r w:rsidRPr="00496338">
        <w:rPr>
          <w:sz w:val="22"/>
        </w:rPr>
        <w:t>Il est vrai que dans notre pays, plus que jamais ces dernières années, la privatisation s</w:t>
      </w:r>
      <w:r>
        <w:rPr>
          <w:sz w:val="22"/>
        </w:rPr>
        <w:t>’</w:t>
      </w:r>
      <w:r w:rsidRPr="00496338">
        <w:rPr>
          <w:sz w:val="22"/>
        </w:rPr>
        <w:t>est introduite dans le système de santé</w:t>
      </w:r>
      <w:r>
        <w:rPr>
          <w:sz w:val="22"/>
        </w:rPr>
        <w:t> </w:t>
      </w:r>
      <w:r w:rsidRPr="00496338">
        <w:rPr>
          <w:sz w:val="22"/>
        </w:rPr>
        <w:t>: en 2017, «</w:t>
      </w:r>
      <w:r>
        <w:rPr>
          <w:sz w:val="22"/>
        </w:rPr>
        <w:t> </w:t>
      </w:r>
      <w:r w:rsidRPr="00496338">
        <w:rPr>
          <w:sz w:val="22"/>
        </w:rPr>
        <w:t>88 cliniques privées à travers le Canada facturaient illégalement des patients</w:t>
      </w:r>
      <w:r>
        <w:rPr>
          <w:sz w:val="22"/>
        </w:rPr>
        <w:t> </w:t>
      </w:r>
      <w:r w:rsidRPr="00496338">
        <w:rPr>
          <w:sz w:val="22"/>
        </w:rPr>
        <w:t>»</w:t>
      </w:r>
      <w:r>
        <w:rPr>
          <w:sz w:val="22"/>
        </w:rPr>
        <w:t> </w:t>
      </w:r>
      <w:r w:rsidRPr="00496338">
        <w:rPr>
          <w:sz w:val="22"/>
        </w:rPr>
        <w:t>; en Ontario et en Alberta, les menaces existentielles de la privatisation pour réduire les coûts des soins de santé</w:t>
      </w:r>
      <w:r>
        <w:rPr>
          <w:sz w:val="22"/>
        </w:rPr>
        <w:t> </w:t>
      </w:r>
      <w:r w:rsidRPr="00496338">
        <w:rPr>
          <w:sz w:val="22"/>
        </w:rPr>
        <w:t>; en Saskatchewan et au Manitoba, des centres d</w:t>
      </w:r>
      <w:r>
        <w:rPr>
          <w:sz w:val="22"/>
        </w:rPr>
        <w:t>’</w:t>
      </w:r>
      <w:r w:rsidRPr="00496338">
        <w:rPr>
          <w:sz w:val="22"/>
        </w:rPr>
        <w:t>imagerie diagnostique à but lucratif</w:t>
      </w:r>
      <w:r>
        <w:rPr>
          <w:sz w:val="22"/>
        </w:rPr>
        <w:t> </w:t>
      </w:r>
      <w:r w:rsidRPr="00496338">
        <w:rPr>
          <w:sz w:val="22"/>
        </w:rPr>
        <w:t>; encore en Saskatchewan</w:t>
      </w:r>
      <w:r>
        <w:rPr>
          <w:sz w:val="22"/>
        </w:rPr>
        <w:t>,</w:t>
      </w:r>
      <w:r w:rsidRPr="00496338">
        <w:rPr>
          <w:sz w:val="22"/>
        </w:rPr>
        <w:t xml:space="preserve"> mais aussi au Nouveau-Brunswick, des centres de collecte de plasma à but lucratif</w:t>
      </w:r>
      <w:r>
        <w:rPr>
          <w:sz w:val="22"/>
        </w:rPr>
        <w:t> </w:t>
      </w:r>
      <w:r w:rsidRPr="00496338">
        <w:rPr>
          <w:sz w:val="22"/>
        </w:rPr>
        <w:t>; au Québec, facturation supplémentaire des gouttes oculaires, des DIU, des instruments de coloscopie et des médicaments</w:t>
      </w:r>
      <w:r>
        <w:rPr>
          <w:sz w:val="22"/>
        </w:rPr>
        <w:t> </w:t>
      </w:r>
      <w:r w:rsidRPr="00496338">
        <w:rPr>
          <w:sz w:val="22"/>
        </w:rPr>
        <w:t>; dans les grandes villes canadiennes, des cliniques médicales spécialisées</w:t>
      </w:r>
      <w:r>
        <w:rPr>
          <w:sz w:val="22"/>
        </w:rPr>
        <w:t> </w:t>
      </w:r>
      <w:r w:rsidRPr="00496338">
        <w:rPr>
          <w:sz w:val="22"/>
        </w:rPr>
        <w:t>; en Colombie-Britannique, le Dr Brian Day a mené une bataille juridique pendant une décennie contre la prestation de soins de santé à payeur unique et financée par des fonds publics au Canada.</w:t>
      </w:r>
    </w:p>
    <w:p w:rsidR="00496338" w:rsidRPr="00496338" w:rsidRDefault="00496338" w:rsidP="00496338">
      <w:pPr>
        <w:pStyle w:val="En-tte"/>
        <w:rPr>
          <w:sz w:val="22"/>
        </w:rPr>
      </w:pPr>
    </w:p>
    <w:p w:rsidR="00496338" w:rsidRPr="00496338" w:rsidRDefault="00496338" w:rsidP="00496338">
      <w:pPr>
        <w:pStyle w:val="En-tte"/>
        <w:rPr>
          <w:sz w:val="22"/>
        </w:rPr>
      </w:pPr>
      <w:r w:rsidRPr="00496338">
        <w:rPr>
          <w:sz w:val="22"/>
        </w:rPr>
        <w:t>C’est ce dernier cas, la poursuite en Colombie-Britannique, considérée comme l’un des cas constitutionnels l</w:t>
      </w:r>
      <w:r>
        <w:rPr>
          <w:sz w:val="22"/>
        </w:rPr>
        <w:t>a</w:t>
      </w:r>
      <w:r w:rsidRPr="00496338">
        <w:rPr>
          <w:sz w:val="22"/>
        </w:rPr>
        <w:t xml:space="preserve"> plus important</w:t>
      </w:r>
      <w:r>
        <w:rPr>
          <w:sz w:val="22"/>
        </w:rPr>
        <w:t>e</w:t>
      </w:r>
      <w:r w:rsidRPr="00496338">
        <w:rPr>
          <w:sz w:val="22"/>
        </w:rPr>
        <w:t xml:space="preserve"> de l’histoire du Canada, qui représente la plus grande menace pour notre système de santé publique actuel. Si Day gagne, la voie sera pavée vers un système où les patients fortunés pourront passer au premier plan en payant pour des services médicaux, où des régimes privés d’assurance maladie peuvent être proposés aux employés, où certains Canadiens attendre plus longtemps pour des services, payer de leur poche ou être incapable</w:t>
      </w:r>
      <w:r>
        <w:rPr>
          <w:sz w:val="22"/>
        </w:rPr>
        <w:t>s</w:t>
      </w:r>
      <w:r w:rsidRPr="00496338">
        <w:rPr>
          <w:sz w:val="22"/>
        </w:rPr>
        <w:t xml:space="preserve"> de payer les soins de santé. Un tel système enfreint la Loi canadienne sur la santé, qui garantit l’accès aux services de médecin et d’hôpital, quelle que soit sa capacité de payer.</w:t>
      </w:r>
    </w:p>
    <w:p w:rsidR="00496338" w:rsidRPr="00496338" w:rsidRDefault="00496338" w:rsidP="00496338">
      <w:pPr>
        <w:pStyle w:val="En-tte"/>
        <w:rPr>
          <w:sz w:val="22"/>
        </w:rPr>
      </w:pPr>
    </w:p>
    <w:p w:rsidR="00496338" w:rsidRPr="00496338" w:rsidRDefault="00496338" w:rsidP="00496338">
      <w:pPr>
        <w:pStyle w:val="En-tte"/>
        <w:rPr>
          <w:sz w:val="22"/>
        </w:rPr>
      </w:pPr>
      <w:r w:rsidRPr="00496338">
        <w:rPr>
          <w:sz w:val="22"/>
        </w:rPr>
        <w:t xml:space="preserve">En avril 2018, le gouvernement fédéral a retenu 15,9 millions de dollars en paiements de transfert en matière de santé à la Colombie-Britannique en raison de la facturation supplémentaire imputée aux cliniques privées de la province, y compris la clinique Dr </w:t>
      </w:r>
      <w:proofErr w:type="spellStart"/>
      <w:r w:rsidRPr="00496338">
        <w:rPr>
          <w:sz w:val="22"/>
        </w:rPr>
        <w:t>Day’s</w:t>
      </w:r>
      <w:proofErr w:type="spellEnd"/>
      <w:r w:rsidRPr="00496338">
        <w:rPr>
          <w:sz w:val="22"/>
        </w:rPr>
        <w:t xml:space="preserve"> </w:t>
      </w:r>
      <w:proofErr w:type="spellStart"/>
      <w:r w:rsidRPr="00496338">
        <w:rPr>
          <w:sz w:val="22"/>
        </w:rPr>
        <w:t>Cambie</w:t>
      </w:r>
      <w:proofErr w:type="spellEnd"/>
      <w:r w:rsidRPr="00496338">
        <w:rPr>
          <w:sz w:val="22"/>
        </w:rPr>
        <w:t xml:space="preserve">. Le ministre de la Santé de la Colombie-Britannique a ensuite annoncé que pour empêcher toute réduction future du transfert, le gouvernement provincial commencerait à appliquer les dispositions de la loi Medicare Protection </w:t>
      </w:r>
      <w:proofErr w:type="spellStart"/>
      <w:r w:rsidRPr="00496338">
        <w:rPr>
          <w:sz w:val="22"/>
        </w:rPr>
        <w:t>Act</w:t>
      </w:r>
      <w:proofErr w:type="spellEnd"/>
      <w:r w:rsidRPr="00496338">
        <w:rPr>
          <w:sz w:val="22"/>
        </w:rPr>
        <w:t>, adoptée en octobre de la même année, mais qui n’a pas été appliquée par le gouvernement précédent.</w:t>
      </w:r>
    </w:p>
    <w:p w:rsidR="00496338" w:rsidRPr="00496338" w:rsidRDefault="00496338" w:rsidP="00496338">
      <w:pPr>
        <w:pStyle w:val="En-tte"/>
        <w:rPr>
          <w:sz w:val="22"/>
        </w:rPr>
      </w:pPr>
    </w:p>
    <w:p w:rsidR="00496338" w:rsidRPr="00496338" w:rsidRDefault="00496338" w:rsidP="00496338">
      <w:pPr>
        <w:pStyle w:val="En-tte"/>
        <w:rPr>
          <w:sz w:val="22"/>
        </w:rPr>
      </w:pPr>
      <w:r w:rsidRPr="00496338">
        <w:rPr>
          <w:sz w:val="22"/>
        </w:rPr>
        <w:t>Le Dr Day a immédiatement déposé une injonction contre une telle action et, le 23</w:t>
      </w:r>
      <w:r>
        <w:rPr>
          <w:sz w:val="22"/>
        </w:rPr>
        <w:t> </w:t>
      </w:r>
      <w:r w:rsidRPr="00496338">
        <w:rPr>
          <w:sz w:val="22"/>
        </w:rPr>
        <w:t xml:space="preserve">novembre 2018, la juge Janet </w:t>
      </w:r>
      <w:proofErr w:type="spellStart"/>
      <w:r w:rsidRPr="00496338">
        <w:rPr>
          <w:sz w:val="22"/>
        </w:rPr>
        <w:t>Winteringham</w:t>
      </w:r>
      <w:proofErr w:type="spellEnd"/>
      <w:r w:rsidRPr="00496338">
        <w:rPr>
          <w:sz w:val="22"/>
        </w:rPr>
        <w:t xml:space="preserve"> de la Cour suprême a empêché la province d</w:t>
      </w:r>
      <w:r>
        <w:rPr>
          <w:sz w:val="22"/>
        </w:rPr>
        <w:t>’</w:t>
      </w:r>
      <w:r w:rsidRPr="00496338">
        <w:rPr>
          <w:sz w:val="22"/>
        </w:rPr>
        <w:t>appliquer les dispositions de la loi jusqu</w:t>
      </w:r>
      <w:r>
        <w:rPr>
          <w:sz w:val="22"/>
        </w:rPr>
        <w:t>’</w:t>
      </w:r>
      <w:r w:rsidRPr="00496338">
        <w:rPr>
          <w:sz w:val="22"/>
        </w:rPr>
        <w:t xml:space="preserve">au </w:t>
      </w:r>
      <w:r>
        <w:rPr>
          <w:sz w:val="22"/>
        </w:rPr>
        <w:t>premier</w:t>
      </w:r>
      <w:r w:rsidRPr="00496338">
        <w:rPr>
          <w:sz w:val="22"/>
        </w:rPr>
        <w:t xml:space="preserve"> juin ou «</w:t>
      </w:r>
      <w:r>
        <w:rPr>
          <w:sz w:val="22"/>
        </w:rPr>
        <w:t> </w:t>
      </w:r>
      <w:r w:rsidRPr="00496338">
        <w:rPr>
          <w:sz w:val="22"/>
        </w:rPr>
        <w:t>une nouvelle ordonnance de la cour en attendant la décision finale des questions constitutionnelles soulevées</w:t>
      </w:r>
      <w:r>
        <w:rPr>
          <w:sz w:val="22"/>
        </w:rPr>
        <w:t> </w:t>
      </w:r>
      <w:r w:rsidRPr="00496338">
        <w:rPr>
          <w:sz w:val="22"/>
        </w:rPr>
        <w:t>»</w:t>
      </w:r>
      <w:r>
        <w:rPr>
          <w:sz w:val="22"/>
        </w:rPr>
        <w:t>,</w:t>
      </w:r>
      <w:r w:rsidRPr="00496338">
        <w:rPr>
          <w:sz w:val="22"/>
        </w:rPr>
        <w:t xml:space="preserve"> par le procès sur les restrictions imposées à l</w:t>
      </w:r>
      <w:r>
        <w:rPr>
          <w:sz w:val="22"/>
        </w:rPr>
        <w:t>’</w:t>
      </w:r>
      <w:r w:rsidRPr="00496338">
        <w:rPr>
          <w:sz w:val="22"/>
        </w:rPr>
        <w:t>accès aux soins privés.</w:t>
      </w:r>
      <w:r>
        <w:rPr>
          <w:sz w:val="22"/>
        </w:rPr>
        <w:t> </w:t>
      </w:r>
      <w:proofErr w:type="gramStart"/>
      <w:r w:rsidRPr="00496338">
        <w:rPr>
          <w:sz w:val="22"/>
        </w:rPr>
        <w:t>»Le</w:t>
      </w:r>
      <w:proofErr w:type="gramEnd"/>
      <w:r w:rsidRPr="00496338">
        <w:rPr>
          <w:sz w:val="22"/>
        </w:rPr>
        <w:t xml:space="preserve"> 24</w:t>
      </w:r>
      <w:r>
        <w:rPr>
          <w:sz w:val="22"/>
        </w:rPr>
        <w:t> </w:t>
      </w:r>
      <w:r w:rsidRPr="00496338">
        <w:rPr>
          <w:sz w:val="22"/>
        </w:rPr>
        <w:t>janvier 2019, la juge Mary Newbury de la Cour d</w:t>
      </w:r>
      <w:r>
        <w:rPr>
          <w:sz w:val="22"/>
        </w:rPr>
        <w:t>’</w:t>
      </w:r>
      <w:r w:rsidRPr="00496338">
        <w:rPr>
          <w:sz w:val="22"/>
        </w:rPr>
        <w:t>appel de la Colombie-Britannique a rejeté une demande d</w:t>
      </w:r>
      <w:r>
        <w:rPr>
          <w:sz w:val="22"/>
        </w:rPr>
        <w:t>’</w:t>
      </w:r>
      <w:r w:rsidRPr="00496338">
        <w:rPr>
          <w:sz w:val="22"/>
        </w:rPr>
        <w:t>appel de la province, déclarant qu</w:t>
      </w:r>
      <w:r>
        <w:rPr>
          <w:sz w:val="22"/>
        </w:rPr>
        <w:t>’</w:t>
      </w:r>
      <w:r w:rsidRPr="00496338">
        <w:rPr>
          <w:sz w:val="22"/>
        </w:rPr>
        <w:t>il était temps que l</w:t>
      </w:r>
      <w:r>
        <w:rPr>
          <w:sz w:val="22"/>
        </w:rPr>
        <w:t>’</w:t>
      </w:r>
      <w:r w:rsidRPr="00496338">
        <w:rPr>
          <w:sz w:val="22"/>
        </w:rPr>
        <w:t>avocat et les parties</w:t>
      </w:r>
      <w:r>
        <w:rPr>
          <w:sz w:val="22"/>
        </w:rPr>
        <w:t xml:space="preserve"> </w:t>
      </w:r>
      <w:r w:rsidRPr="00496338">
        <w:rPr>
          <w:sz w:val="22"/>
        </w:rPr>
        <w:t>«</w:t>
      </w:r>
      <w:r>
        <w:rPr>
          <w:sz w:val="22"/>
        </w:rPr>
        <w:t> </w:t>
      </w:r>
      <w:r w:rsidRPr="00496338">
        <w:rPr>
          <w:sz w:val="22"/>
        </w:rPr>
        <w:t>se concentrent sur l</w:t>
      </w:r>
      <w:r>
        <w:rPr>
          <w:sz w:val="22"/>
        </w:rPr>
        <w:t>’</w:t>
      </w:r>
      <w:r w:rsidRPr="00496338">
        <w:rPr>
          <w:sz w:val="22"/>
        </w:rPr>
        <w:t>achèvement du le procès.</w:t>
      </w:r>
      <w:r>
        <w:rPr>
          <w:sz w:val="22"/>
        </w:rPr>
        <w:t> </w:t>
      </w:r>
      <w:proofErr w:type="gramStart"/>
      <w:r w:rsidRPr="00496338">
        <w:rPr>
          <w:sz w:val="22"/>
        </w:rPr>
        <w:t>»Ces</w:t>
      </w:r>
      <w:proofErr w:type="gramEnd"/>
      <w:r w:rsidRPr="00496338">
        <w:rPr>
          <w:sz w:val="22"/>
        </w:rPr>
        <w:t xml:space="preserve"> deux jugements ont été remportés par le Dr Brian Day </w:t>
      </w:r>
      <w:r w:rsidRPr="00496338">
        <w:rPr>
          <w:sz w:val="22"/>
        </w:rPr>
        <w:lastRenderedPageBreak/>
        <w:t>et les plaignants qui soutiennent que la fermeture des cliniques privées</w:t>
      </w:r>
      <w:r>
        <w:rPr>
          <w:sz w:val="22"/>
        </w:rPr>
        <w:t xml:space="preserve"> </w:t>
      </w:r>
      <w:r w:rsidRPr="00496338">
        <w:rPr>
          <w:sz w:val="22"/>
        </w:rPr>
        <w:t>«</w:t>
      </w:r>
      <w:r>
        <w:rPr>
          <w:sz w:val="22"/>
        </w:rPr>
        <w:t> </w:t>
      </w:r>
      <w:r w:rsidRPr="00496338">
        <w:rPr>
          <w:sz w:val="22"/>
        </w:rPr>
        <w:t>priverait l</w:t>
      </w:r>
      <w:r>
        <w:rPr>
          <w:sz w:val="22"/>
        </w:rPr>
        <w:t>’</w:t>
      </w:r>
      <w:r w:rsidRPr="00496338">
        <w:rPr>
          <w:sz w:val="22"/>
        </w:rPr>
        <w:t>individu du droit de protéger son corps (articles</w:t>
      </w:r>
      <w:r>
        <w:rPr>
          <w:sz w:val="22"/>
        </w:rPr>
        <w:t> </w:t>
      </w:r>
      <w:r w:rsidRPr="00496338">
        <w:rPr>
          <w:sz w:val="22"/>
        </w:rPr>
        <w:t>7 et 15 de la Charte canadienne des droits et libertés).</w:t>
      </w:r>
    </w:p>
    <w:p w:rsidR="00496338" w:rsidRPr="00496338" w:rsidRDefault="00496338" w:rsidP="00496338">
      <w:pPr>
        <w:pStyle w:val="En-tte"/>
        <w:rPr>
          <w:sz w:val="22"/>
        </w:rPr>
      </w:pPr>
      <w:r w:rsidRPr="00496338">
        <w:rPr>
          <w:sz w:val="22"/>
        </w:rPr>
        <w:t xml:space="preserve">La Coalition canadienne de la santé affirme que </w:t>
      </w:r>
      <w:r>
        <w:rPr>
          <w:sz w:val="22"/>
        </w:rPr>
        <w:t>“</w:t>
      </w:r>
      <w:r w:rsidRPr="00496338">
        <w:rPr>
          <w:sz w:val="22"/>
        </w:rPr>
        <w:t>cette affaire est une affaire de profit</w:t>
      </w:r>
      <w:r>
        <w:rPr>
          <w:sz w:val="22"/>
        </w:rPr>
        <w:t> </w:t>
      </w:r>
      <w:r w:rsidRPr="00496338">
        <w:rPr>
          <w:sz w:val="22"/>
        </w:rPr>
        <w:t>: profit pour les médecins, profit pour les cliniques privées et profit pour les compagnies d</w:t>
      </w:r>
      <w:r>
        <w:rPr>
          <w:sz w:val="22"/>
        </w:rPr>
        <w:t>’</w:t>
      </w:r>
      <w:r w:rsidRPr="00496338">
        <w:rPr>
          <w:sz w:val="22"/>
        </w:rPr>
        <w:t>assurance</w:t>
      </w:r>
      <w:r>
        <w:rPr>
          <w:sz w:val="22"/>
        </w:rPr>
        <w:t>”</w:t>
      </w:r>
      <w:r w:rsidRPr="00496338">
        <w:rPr>
          <w:sz w:val="22"/>
        </w:rPr>
        <w:t>.</w:t>
      </w:r>
    </w:p>
    <w:p w:rsidR="00496338" w:rsidRPr="00496338" w:rsidRDefault="00496338" w:rsidP="00496338">
      <w:pPr>
        <w:pStyle w:val="En-tte"/>
        <w:rPr>
          <w:sz w:val="22"/>
        </w:rPr>
      </w:pPr>
    </w:p>
    <w:p w:rsidR="00496338" w:rsidRPr="00496338" w:rsidRDefault="00496338" w:rsidP="00496338">
      <w:pPr>
        <w:pStyle w:val="En-tte"/>
        <w:rPr>
          <w:sz w:val="22"/>
        </w:rPr>
      </w:pPr>
      <w:r w:rsidRPr="00496338">
        <w:rPr>
          <w:sz w:val="22"/>
        </w:rPr>
        <w:t>Bob Hepburn, chroniqueur du Toronto Star, a rapporté le 9</w:t>
      </w:r>
      <w:r>
        <w:rPr>
          <w:sz w:val="22"/>
        </w:rPr>
        <w:t> </w:t>
      </w:r>
      <w:r w:rsidRPr="00496338">
        <w:rPr>
          <w:sz w:val="22"/>
        </w:rPr>
        <w:t xml:space="preserve">janvier dernier que </w:t>
      </w:r>
      <w:r>
        <w:rPr>
          <w:sz w:val="22"/>
        </w:rPr>
        <w:t>“</w:t>
      </w:r>
      <w:r w:rsidRPr="00496338">
        <w:rPr>
          <w:sz w:val="22"/>
        </w:rPr>
        <w:t>les principaux intérêts financiers de Toronto soutiennent discrètement [le] procès controversé... renforcer le trésor de guerre de 8 millions de dollars pour aider à financer les procès de Day</w:t>
      </w:r>
      <w:r>
        <w:rPr>
          <w:sz w:val="22"/>
        </w:rPr>
        <w:t xml:space="preserve">” </w:t>
      </w:r>
      <w:r w:rsidRPr="00496338">
        <w:rPr>
          <w:sz w:val="22"/>
        </w:rPr>
        <w:t>et ouvrir la voie à une privatisation accrue des soins de santé.</w:t>
      </w:r>
    </w:p>
    <w:p w:rsidR="00496338" w:rsidRPr="00496338" w:rsidRDefault="00496338" w:rsidP="00496338">
      <w:pPr>
        <w:pStyle w:val="En-tte"/>
        <w:rPr>
          <w:sz w:val="22"/>
        </w:rPr>
      </w:pPr>
      <w:r w:rsidRPr="00496338">
        <w:rPr>
          <w:sz w:val="22"/>
        </w:rPr>
        <w:t>Le long procès au cœur de la bataille menée par le Dr Brian Day pour un système de santé à deux vitesses a parfois été assailli par des retards répétés, des arguments fastidieux et âpres et d</w:t>
      </w:r>
      <w:r>
        <w:rPr>
          <w:sz w:val="22"/>
        </w:rPr>
        <w:t>’</w:t>
      </w:r>
      <w:r w:rsidRPr="00496338">
        <w:rPr>
          <w:sz w:val="22"/>
        </w:rPr>
        <w:t xml:space="preserve">innombrables disputes en matière de preuves - le juge John </w:t>
      </w:r>
      <w:proofErr w:type="spellStart"/>
      <w:r w:rsidRPr="00496338">
        <w:rPr>
          <w:sz w:val="22"/>
        </w:rPr>
        <w:t>Steeves</w:t>
      </w:r>
      <w:proofErr w:type="spellEnd"/>
      <w:r w:rsidRPr="00496338">
        <w:rPr>
          <w:sz w:val="22"/>
        </w:rPr>
        <w:t xml:space="preserve"> a fait au moins 45 décisions formelles et au moins cinq voyages à la table haute. Les deux parties ont de nombreux témoins qui ont tous besoin de temps pour être interrogés et contre-interrogés.</w:t>
      </w:r>
    </w:p>
    <w:p w:rsidR="00496338" w:rsidRPr="00496338" w:rsidRDefault="00496338" w:rsidP="00496338">
      <w:pPr>
        <w:pStyle w:val="En-tte"/>
        <w:rPr>
          <w:sz w:val="22"/>
        </w:rPr>
      </w:pPr>
    </w:p>
    <w:p w:rsidR="00496338" w:rsidRPr="00496338" w:rsidRDefault="00496338" w:rsidP="00496338">
      <w:pPr>
        <w:pStyle w:val="En-tte"/>
        <w:rPr>
          <w:sz w:val="22"/>
        </w:rPr>
      </w:pPr>
      <w:r w:rsidRPr="00496338">
        <w:rPr>
          <w:sz w:val="22"/>
        </w:rPr>
        <w:t>Le lundi</w:t>
      </w:r>
      <w:r>
        <w:rPr>
          <w:sz w:val="22"/>
        </w:rPr>
        <w:t> </w:t>
      </w:r>
      <w:r w:rsidRPr="00496338">
        <w:rPr>
          <w:sz w:val="22"/>
        </w:rPr>
        <w:t>13</w:t>
      </w:r>
      <w:r>
        <w:rPr>
          <w:sz w:val="22"/>
        </w:rPr>
        <w:t> </w:t>
      </w:r>
      <w:r w:rsidRPr="00496338">
        <w:rPr>
          <w:sz w:val="22"/>
        </w:rPr>
        <w:t>mai 2019, après des mois de témoignage de la part de M.</w:t>
      </w:r>
      <w:r>
        <w:rPr>
          <w:sz w:val="22"/>
        </w:rPr>
        <w:t> </w:t>
      </w:r>
      <w:r w:rsidRPr="00496338">
        <w:rPr>
          <w:sz w:val="22"/>
        </w:rPr>
        <w:t>Day, la Défense a pu commencer à présenter ses témoins. Le premier témoin était Marie-Claude Prémont, professeure de droit réputée à l</w:t>
      </w:r>
      <w:r>
        <w:rPr>
          <w:sz w:val="22"/>
        </w:rPr>
        <w:t>’</w:t>
      </w:r>
      <w:r w:rsidRPr="00496338">
        <w:rPr>
          <w:sz w:val="22"/>
        </w:rPr>
        <w:t>École nationale d</w:t>
      </w:r>
      <w:r>
        <w:rPr>
          <w:sz w:val="22"/>
        </w:rPr>
        <w:t>’</w:t>
      </w:r>
      <w:r w:rsidRPr="00496338">
        <w:rPr>
          <w:sz w:val="22"/>
        </w:rPr>
        <w:t xml:space="preserve">administration publique. Elle devait présenter des éléments de preuve sur la façon dont </w:t>
      </w:r>
      <w:proofErr w:type="spellStart"/>
      <w:r w:rsidRPr="00496338">
        <w:rPr>
          <w:sz w:val="22"/>
        </w:rPr>
        <w:t>Chaoulli</w:t>
      </w:r>
      <w:proofErr w:type="spellEnd"/>
      <w:r w:rsidRPr="00496338">
        <w:rPr>
          <w:sz w:val="22"/>
        </w:rPr>
        <w:t xml:space="preserve"> c. Québec, une décision d</w:t>
      </w:r>
      <w:r>
        <w:rPr>
          <w:sz w:val="22"/>
        </w:rPr>
        <w:t>’</w:t>
      </w:r>
      <w:r w:rsidRPr="00496338">
        <w:rPr>
          <w:sz w:val="22"/>
        </w:rPr>
        <w:t>un tribunal québécois qui restreint l</w:t>
      </w:r>
      <w:r>
        <w:rPr>
          <w:sz w:val="22"/>
        </w:rPr>
        <w:t>’</w:t>
      </w:r>
      <w:r w:rsidRPr="00496338">
        <w:rPr>
          <w:sz w:val="22"/>
        </w:rPr>
        <w:t>assurance</w:t>
      </w:r>
      <w:r>
        <w:rPr>
          <w:sz w:val="22"/>
        </w:rPr>
        <w:t xml:space="preserve"> maladie</w:t>
      </w:r>
      <w:r w:rsidRPr="00496338">
        <w:rPr>
          <w:sz w:val="22"/>
        </w:rPr>
        <w:t>, a rendu plus difficile pour les patients de cette province d</w:t>
      </w:r>
      <w:r>
        <w:rPr>
          <w:sz w:val="22"/>
        </w:rPr>
        <w:t>’</w:t>
      </w:r>
      <w:r w:rsidRPr="00496338">
        <w:rPr>
          <w:sz w:val="22"/>
        </w:rPr>
        <w:t xml:space="preserve">obtenir les soins dont ils ont besoin. Un porte-parole de la BC </w:t>
      </w:r>
      <w:proofErr w:type="spellStart"/>
      <w:r w:rsidRPr="00496338">
        <w:rPr>
          <w:sz w:val="22"/>
        </w:rPr>
        <w:t>Health</w:t>
      </w:r>
      <w:proofErr w:type="spellEnd"/>
      <w:r w:rsidRPr="00496338">
        <w:rPr>
          <w:sz w:val="22"/>
        </w:rPr>
        <w:t xml:space="preserve"> Coalition, un intervenant dans l’affaire, a déclaré</w:t>
      </w:r>
      <w:r>
        <w:rPr>
          <w:sz w:val="22"/>
        </w:rPr>
        <w:t> </w:t>
      </w:r>
      <w:r w:rsidRPr="00496338">
        <w:rPr>
          <w:sz w:val="22"/>
        </w:rPr>
        <w:t xml:space="preserve">: </w:t>
      </w:r>
      <w:r>
        <w:rPr>
          <w:sz w:val="22"/>
        </w:rPr>
        <w:t>“</w:t>
      </w:r>
      <w:r w:rsidRPr="00496338">
        <w:rPr>
          <w:sz w:val="22"/>
        </w:rPr>
        <w:t xml:space="preserve">Les témoignages de Prémont sont essentiels pour que la cour puisse entendre, car les changements à apporter à notre système de santé que Day cherche à obtenir vont bien au-delà de l’affaire </w:t>
      </w:r>
      <w:proofErr w:type="spellStart"/>
      <w:r w:rsidRPr="00496338">
        <w:rPr>
          <w:sz w:val="22"/>
        </w:rPr>
        <w:t>Chaoulli</w:t>
      </w:r>
      <w:proofErr w:type="spellEnd"/>
      <w:r w:rsidRPr="00496338">
        <w:rPr>
          <w:sz w:val="22"/>
        </w:rPr>
        <w:t>. Day souhaite modifier les règles afin que tout médecin puisse facturer aux patients des montants illimités pour toutes les procédures et tous les services, et mettre en place un système de soins et d</w:t>
      </w:r>
      <w:r>
        <w:rPr>
          <w:sz w:val="22"/>
        </w:rPr>
        <w:t>’</w:t>
      </w:r>
      <w:r w:rsidRPr="00496338">
        <w:rPr>
          <w:sz w:val="22"/>
        </w:rPr>
        <w:t>assurance privés parallèles à l</w:t>
      </w:r>
      <w:r>
        <w:rPr>
          <w:sz w:val="22"/>
        </w:rPr>
        <w:t>’</w:t>
      </w:r>
      <w:r w:rsidRPr="00496338">
        <w:rPr>
          <w:sz w:val="22"/>
        </w:rPr>
        <w:t>américaine</w:t>
      </w:r>
      <w:r>
        <w:rPr>
          <w:sz w:val="22"/>
        </w:rPr>
        <w:t>”</w:t>
      </w:r>
      <w:r w:rsidRPr="00496338">
        <w:rPr>
          <w:sz w:val="22"/>
        </w:rPr>
        <w:t>.</w:t>
      </w:r>
    </w:p>
    <w:p w:rsidR="00496338" w:rsidRPr="00496338" w:rsidRDefault="00496338" w:rsidP="00496338">
      <w:pPr>
        <w:pStyle w:val="En-tte"/>
        <w:rPr>
          <w:sz w:val="22"/>
        </w:rPr>
      </w:pPr>
    </w:p>
    <w:p w:rsidR="00496338" w:rsidRPr="00496338" w:rsidRDefault="00496338" w:rsidP="00496338">
      <w:pPr>
        <w:pStyle w:val="En-tte"/>
        <w:rPr>
          <w:sz w:val="22"/>
        </w:rPr>
      </w:pPr>
      <w:r w:rsidRPr="00496338">
        <w:rPr>
          <w:sz w:val="22"/>
        </w:rPr>
        <w:t>Le 21</w:t>
      </w:r>
      <w:r>
        <w:rPr>
          <w:sz w:val="22"/>
        </w:rPr>
        <w:t> </w:t>
      </w:r>
      <w:r w:rsidRPr="00496338">
        <w:rPr>
          <w:sz w:val="22"/>
        </w:rPr>
        <w:t xml:space="preserve">juin, le deuxième témoin de la Défense, le professeur David </w:t>
      </w:r>
      <w:proofErr w:type="spellStart"/>
      <w:r w:rsidRPr="00496338">
        <w:rPr>
          <w:sz w:val="22"/>
        </w:rPr>
        <w:t>Himmelstein</w:t>
      </w:r>
      <w:proofErr w:type="spellEnd"/>
      <w:r w:rsidRPr="00496338">
        <w:rPr>
          <w:sz w:val="22"/>
        </w:rPr>
        <w:t>, expert du secteur de l</w:t>
      </w:r>
      <w:r>
        <w:rPr>
          <w:sz w:val="22"/>
        </w:rPr>
        <w:t>’</w:t>
      </w:r>
      <w:r w:rsidRPr="00496338">
        <w:rPr>
          <w:sz w:val="22"/>
        </w:rPr>
        <w:t>assurance maladie privée aux États-Unis et de sa comparaison avec le Canada, sera à la barre.</w:t>
      </w:r>
    </w:p>
    <w:p w:rsidR="00496338" w:rsidRPr="00496338" w:rsidRDefault="00496338" w:rsidP="00496338">
      <w:pPr>
        <w:pStyle w:val="En-tte"/>
        <w:rPr>
          <w:sz w:val="22"/>
        </w:rPr>
      </w:pPr>
    </w:p>
    <w:p w:rsidR="00496338" w:rsidRPr="00496338" w:rsidRDefault="00496338" w:rsidP="00496338">
      <w:pPr>
        <w:pStyle w:val="En-tte"/>
        <w:rPr>
          <w:sz w:val="22"/>
        </w:rPr>
      </w:pPr>
      <w:r w:rsidRPr="00496338">
        <w:rPr>
          <w:sz w:val="22"/>
        </w:rPr>
        <w:t>Tandis que les Albertains se rendaient aux urnes en avril, Médecins canadiens pour Medicare déclarait</w:t>
      </w:r>
      <w:r>
        <w:rPr>
          <w:sz w:val="22"/>
        </w:rPr>
        <w:t> </w:t>
      </w:r>
      <w:r w:rsidRPr="00496338">
        <w:rPr>
          <w:sz w:val="22"/>
        </w:rPr>
        <w:t xml:space="preserve">: </w:t>
      </w:r>
      <w:r>
        <w:rPr>
          <w:sz w:val="22"/>
        </w:rPr>
        <w:t>“</w:t>
      </w:r>
      <w:r w:rsidRPr="00496338">
        <w:rPr>
          <w:sz w:val="22"/>
        </w:rPr>
        <w:t>Le résultat de l</w:t>
      </w:r>
      <w:r>
        <w:rPr>
          <w:sz w:val="22"/>
        </w:rPr>
        <w:t>’</w:t>
      </w:r>
      <w:r w:rsidRPr="00496338">
        <w:rPr>
          <w:sz w:val="22"/>
        </w:rPr>
        <w:t>essai pourrait avoir des conséquences pour l</w:t>
      </w:r>
      <w:r>
        <w:rPr>
          <w:sz w:val="22"/>
        </w:rPr>
        <w:t>’</w:t>
      </w:r>
      <w:r w:rsidRPr="00496338">
        <w:rPr>
          <w:sz w:val="22"/>
        </w:rPr>
        <w:t>ensemble du Canada, y compris l</w:t>
      </w:r>
      <w:r>
        <w:rPr>
          <w:sz w:val="22"/>
        </w:rPr>
        <w:t>’</w:t>
      </w:r>
      <w:r w:rsidRPr="00496338">
        <w:rPr>
          <w:sz w:val="22"/>
        </w:rPr>
        <w:t xml:space="preserve">Alberta. Si la cour déclare que la loi de la Colombie-Britannique sur les soins de santé est inconstitutionnelle, des parties de la Loi canadienne sur la santé deviendraient inapplicables, ce qui affecterait toutes les autres provinces. </w:t>
      </w:r>
      <w:r>
        <w:rPr>
          <w:sz w:val="22"/>
        </w:rPr>
        <w:t>”</w:t>
      </w:r>
    </w:p>
    <w:p w:rsidR="00496338" w:rsidRPr="00496338" w:rsidRDefault="00496338" w:rsidP="00496338">
      <w:pPr>
        <w:pStyle w:val="En-tte"/>
        <w:rPr>
          <w:sz w:val="22"/>
        </w:rPr>
      </w:pPr>
    </w:p>
    <w:p w:rsidR="00496338" w:rsidRPr="00496338" w:rsidRDefault="00496338" w:rsidP="00496338">
      <w:pPr>
        <w:pStyle w:val="En-tte"/>
        <w:rPr>
          <w:sz w:val="22"/>
        </w:rPr>
      </w:pPr>
    </w:p>
    <w:p w:rsidR="00496338" w:rsidRPr="00496338" w:rsidRDefault="00496338" w:rsidP="00496338">
      <w:pPr>
        <w:pStyle w:val="En-tte"/>
        <w:rPr>
          <w:sz w:val="22"/>
        </w:rPr>
      </w:pPr>
    </w:p>
    <w:p w:rsidR="00496338" w:rsidRPr="00496338" w:rsidRDefault="00496338" w:rsidP="00496338">
      <w:pPr>
        <w:pStyle w:val="En-tte"/>
        <w:rPr>
          <w:sz w:val="22"/>
        </w:rPr>
      </w:pPr>
    </w:p>
    <w:p w:rsidR="00496338" w:rsidRPr="00496338" w:rsidRDefault="00496338" w:rsidP="00496338">
      <w:pPr>
        <w:pStyle w:val="En-tte"/>
        <w:rPr>
          <w:sz w:val="22"/>
        </w:rPr>
      </w:pPr>
    </w:p>
    <w:p w:rsidR="00496338" w:rsidRPr="00496338" w:rsidRDefault="00496338" w:rsidP="00496338">
      <w:pPr>
        <w:pStyle w:val="En-tte"/>
        <w:rPr>
          <w:sz w:val="22"/>
        </w:rPr>
      </w:pPr>
    </w:p>
    <w:p w:rsidR="00496338" w:rsidRPr="00496338" w:rsidRDefault="00496338" w:rsidP="00496338">
      <w:pPr>
        <w:pStyle w:val="En-tte"/>
        <w:rPr>
          <w:sz w:val="22"/>
        </w:rPr>
      </w:pPr>
    </w:p>
    <w:p w:rsidR="00496338" w:rsidRPr="00496338" w:rsidRDefault="00496338" w:rsidP="00496338">
      <w:pPr>
        <w:pStyle w:val="En-tte"/>
        <w:rPr>
          <w:sz w:val="22"/>
        </w:rPr>
      </w:pPr>
    </w:p>
    <w:p w:rsidR="00496338" w:rsidRPr="00496338" w:rsidRDefault="00496338" w:rsidP="00496338">
      <w:pPr>
        <w:pStyle w:val="En-tte"/>
        <w:rPr>
          <w:sz w:val="22"/>
        </w:rPr>
      </w:pPr>
    </w:p>
    <w:p w:rsidR="00F07319" w:rsidRPr="00F07319" w:rsidRDefault="00F07319" w:rsidP="00F07319">
      <w:pPr>
        <w:pStyle w:val="En-tte"/>
        <w:pBdr>
          <w:bottom w:val="single" w:sz="12" w:space="1" w:color="auto"/>
        </w:pBdr>
        <w:rPr>
          <w:sz w:val="22"/>
        </w:rPr>
      </w:pPr>
    </w:p>
    <w:p w:rsidR="00F07319" w:rsidRPr="00F07319" w:rsidRDefault="00F07319" w:rsidP="00F07319">
      <w:pPr>
        <w:pStyle w:val="En-tte"/>
        <w:rPr>
          <w:sz w:val="22"/>
        </w:rPr>
      </w:pPr>
    </w:p>
    <w:p w:rsidR="00F07319" w:rsidRDefault="00F07319" w:rsidP="00F07319">
      <w:pPr>
        <w:pStyle w:val="Notedebasdepage"/>
        <w:rPr>
          <w:rFonts w:ascii="Arial" w:hAnsi="Arial" w:cs="Arial"/>
        </w:rPr>
      </w:pPr>
      <w:r>
        <w:rPr>
          <w:rStyle w:val="Appelnotedebasdep"/>
          <w:rFonts w:ascii="Arial" w:hAnsi="Arial" w:cs="Arial"/>
        </w:rPr>
        <w:footnoteRef/>
      </w:r>
      <w:r>
        <w:rPr>
          <w:rFonts w:ascii="Arial" w:hAnsi="Arial" w:cs="Arial"/>
        </w:rPr>
        <w:t xml:space="preserve"> “Cambie Case (ongoing) CHC (</w:t>
      </w:r>
      <w:hyperlink r:id="rId8" w:history="1">
        <w:r>
          <w:rPr>
            <w:rStyle w:val="Lienhypertexte"/>
            <w:rFonts w:ascii="Arial" w:hAnsi="Arial" w:cs="Arial"/>
          </w:rPr>
          <w:t>http://www.healthcoalition.ca/ttols</w:t>
        </w:r>
      </w:hyperlink>
      <w:r>
        <w:rPr>
          <w:rFonts w:ascii="Arial" w:hAnsi="Arial" w:cs="Arial"/>
          <w:color w:val="0432FF"/>
        </w:rPr>
        <w:t xml:space="preserve"> and resources/)</w:t>
      </w:r>
    </w:p>
    <w:p w:rsidR="00F07319" w:rsidRDefault="00F07319" w:rsidP="00F07319">
      <w:pPr>
        <w:pStyle w:val="Notedebasdepage"/>
        <w:rPr>
          <w:rFonts w:ascii="Arial" w:hAnsi="Arial" w:cs="Arial"/>
        </w:rPr>
      </w:pPr>
      <w:r>
        <w:rPr>
          <w:rStyle w:val="Appelnotedebasdep"/>
          <w:rFonts w:ascii="Arial" w:hAnsi="Arial" w:cs="Arial"/>
        </w:rPr>
        <w:footnoteRef/>
      </w:r>
      <w:r>
        <w:rPr>
          <w:rFonts w:ascii="Arial" w:hAnsi="Arial" w:cs="Arial"/>
        </w:rPr>
        <w:t xml:space="preserve"> Hepburn, Bob. “The secret Moves to Increase Private Health Care”. Toronto Star. 2019.01.09.</w:t>
      </w:r>
    </w:p>
    <w:p w:rsidR="00F07319" w:rsidRDefault="00F07319" w:rsidP="00F07319">
      <w:pPr>
        <w:pStyle w:val="Notedebasdepage"/>
        <w:rPr>
          <w:rFonts w:ascii="Arial" w:hAnsi="Arial" w:cs="Arial"/>
        </w:rPr>
      </w:pPr>
      <w:r>
        <w:rPr>
          <w:rStyle w:val="Appelnotedebasdep"/>
          <w:rFonts w:ascii="Arial" w:hAnsi="Arial" w:cs="Arial"/>
        </w:rPr>
        <w:footnoteRef/>
      </w:r>
      <w:r>
        <w:rPr>
          <w:rFonts w:ascii="Arial" w:hAnsi="Arial" w:cs="Arial"/>
        </w:rPr>
        <w:t xml:space="preserve"> Kane, Laura. “Private medical clinics win injunction against BC law that banned them” Canadian Press. </w:t>
      </w:r>
      <w:r>
        <w:rPr>
          <w:rFonts w:ascii="Arial" w:hAnsi="Arial" w:cs="Arial"/>
          <w:i/>
          <w:iCs/>
        </w:rPr>
        <w:t>Nanaimo News</w:t>
      </w:r>
      <w:r>
        <w:rPr>
          <w:rFonts w:ascii="Arial" w:hAnsi="Arial" w:cs="Arial"/>
        </w:rPr>
        <w:t>. 2018.11.23</w:t>
      </w:r>
    </w:p>
    <w:p w:rsidR="00496338" w:rsidRPr="00F07319" w:rsidRDefault="00F07319" w:rsidP="00496338">
      <w:pPr>
        <w:pStyle w:val="En-tte"/>
        <w:rPr>
          <w:sz w:val="22"/>
          <w:lang w:val="en-CA"/>
        </w:rPr>
      </w:pPr>
      <w:r>
        <w:rPr>
          <w:rStyle w:val="Appelnotedebasdep"/>
          <w:rFonts w:cs="Arial"/>
          <w:sz w:val="20"/>
          <w:szCs w:val="20"/>
        </w:rPr>
        <w:footnoteRef/>
      </w:r>
      <w:r>
        <w:rPr>
          <w:rFonts w:cs="Arial"/>
          <w:sz w:val="20"/>
          <w:szCs w:val="20"/>
          <w:lang w:val="en-CA"/>
        </w:rPr>
        <w:t xml:space="preserve"> http://www.canadiandoctorsformedicare.ca/Commentary/kenney-s-platform-puts-private-profits-over-public-interest.html</w:t>
      </w:r>
      <w:bookmarkStart w:id="0" w:name="_GoBack"/>
      <w:bookmarkEnd w:id="0"/>
    </w:p>
    <w:p w:rsidR="00496338" w:rsidRPr="00F07319" w:rsidRDefault="00496338" w:rsidP="00496338">
      <w:pPr>
        <w:pStyle w:val="En-tte"/>
        <w:rPr>
          <w:sz w:val="22"/>
          <w:lang w:val="en-CA"/>
        </w:rPr>
      </w:pPr>
    </w:p>
    <w:sectPr w:rsidR="00496338" w:rsidRPr="00F07319" w:rsidSect="00C43ADC">
      <w:headerReference w:type="default" r:id="rId9"/>
      <w:footerReference w:type="default" r:id="rId10"/>
      <w:pgSz w:w="12240" w:h="15840"/>
      <w:pgMar w:top="680" w:right="1077" w:bottom="1440" w:left="107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891" w:rsidRDefault="00AA0891" w:rsidP="004E4405">
      <w:pPr>
        <w:spacing w:after="0" w:line="240" w:lineRule="auto"/>
      </w:pPr>
      <w:r>
        <w:separator/>
      </w:r>
    </w:p>
  </w:endnote>
  <w:endnote w:type="continuationSeparator" w:id="0">
    <w:p w:rsidR="00AA0891" w:rsidRDefault="00AA0891" w:rsidP="004E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774" w:rsidRDefault="00C71774" w:rsidP="00C71774">
    <w:pPr>
      <w:pStyle w:val="Pieddepage"/>
      <w:pBdr>
        <w:bottom w:val="single" w:sz="12" w:space="1" w:color="auto"/>
      </w:pBdr>
      <w:shd w:val="clear" w:color="auto" w:fill="FF0000"/>
      <w:rPr>
        <w:sz w:val="4"/>
        <w:szCs w:val="4"/>
      </w:rPr>
    </w:pPr>
  </w:p>
  <w:p w:rsidR="00C71774" w:rsidRDefault="00C71774" w:rsidP="00C71774">
    <w:pPr>
      <w:pStyle w:val="Pieddepage"/>
      <w:rPr>
        <w:sz w:val="12"/>
        <w:szCs w:val="12"/>
      </w:rPr>
    </w:pPr>
  </w:p>
  <w:p w:rsidR="00C71774" w:rsidRDefault="00C71774" w:rsidP="00C71774">
    <w:pPr>
      <w:pStyle w:val="Pieddepage"/>
      <w:jc w:val="center"/>
    </w:pPr>
    <w:r>
      <w:rPr>
        <w:sz w:val="20"/>
        <w:szCs w:val="20"/>
      </w:rPr>
      <w:t>ACER-CART</w:t>
    </w:r>
    <w:r>
      <w:rPr>
        <w:sz w:val="20"/>
        <w:szCs w:val="20"/>
      </w:rPr>
      <w:tab/>
      <w:t xml:space="preserve">                                               Page </w:t>
    </w:r>
    <w:r>
      <w:rPr>
        <w:sz w:val="20"/>
        <w:szCs w:val="20"/>
      </w:rPr>
      <w:fldChar w:fldCharType="begin"/>
    </w:r>
    <w:r>
      <w:rPr>
        <w:sz w:val="20"/>
        <w:szCs w:val="20"/>
      </w:rPr>
      <w:instrText>PAGE   \* MERGEFORMAT</w:instrText>
    </w:r>
    <w:r>
      <w:rPr>
        <w:sz w:val="20"/>
        <w:szCs w:val="20"/>
      </w:rPr>
      <w:fldChar w:fldCharType="separate"/>
    </w:r>
    <w:r>
      <w:rPr>
        <w:sz w:val="20"/>
        <w:szCs w:val="20"/>
      </w:rPr>
      <w:t>1</w:t>
    </w:r>
    <w:r>
      <w:rPr>
        <w:sz w:val="20"/>
        <w:szCs w:val="20"/>
      </w:rPr>
      <w:fldChar w:fldCharType="end"/>
    </w:r>
    <w:r>
      <w:rPr>
        <w:sz w:val="20"/>
        <w:szCs w:val="20"/>
      </w:rPr>
      <w:t xml:space="preserve">                                                               AGM19-T4-00</w:t>
    </w:r>
    <w:r w:rsidR="0006368C">
      <w:rPr>
        <w:sz w:val="20"/>
        <w:szCs w:val="20"/>
      </w:rPr>
      <w:t>3</w:t>
    </w:r>
    <w:r w:rsidR="00496338">
      <w:rPr>
        <w:sz w:val="20"/>
        <w:szCs w:val="20"/>
      </w:rPr>
      <w:t xml:space="preserve"> </w:t>
    </w:r>
    <w:proofErr w:type="spellStart"/>
    <w:r w:rsidR="00496338">
      <w:rPr>
        <w:sz w:val="20"/>
        <w:szCs w:val="20"/>
      </w:rPr>
      <w:t>fr</w:t>
    </w:r>
    <w:proofErr w:type="spellEnd"/>
  </w:p>
  <w:p w:rsidR="00370613" w:rsidRDefault="00370613">
    <w:pPr>
      <w:pStyle w:val="Pieddepage"/>
    </w:pPr>
  </w:p>
  <w:p w:rsidR="00FB4CAE" w:rsidRDefault="00FB4C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891" w:rsidRDefault="00AA0891" w:rsidP="004E4405">
      <w:pPr>
        <w:spacing w:after="0" w:line="240" w:lineRule="auto"/>
      </w:pPr>
      <w:r>
        <w:separator/>
      </w:r>
    </w:p>
  </w:footnote>
  <w:footnote w:type="continuationSeparator" w:id="0">
    <w:p w:rsidR="00AA0891" w:rsidRDefault="00AA0891" w:rsidP="004E4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D1F" w:rsidRDefault="00CA0D1F" w:rsidP="00CA0D1F">
    <w:pPr>
      <w:pStyle w:val="En-tte"/>
      <w:jc w:val="center"/>
      <w:rPr>
        <w:b/>
      </w:rPr>
    </w:pPr>
  </w:p>
  <w:p w:rsidR="00CA0D1F" w:rsidRDefault="00CA0D1F" w:rsidP="00CA0D1F">
    <w:pPr>
      <w:pStyle w:val="En-tte"/>
      <w:jc w:val="center"/>
      <w:rPr>
        <w:b/>
      </w:rPr>
    </w:pPr>
  </w:p>
  <w:p w:rsidR="00CA0D1F" w:rsidRPr="00CA0D1F" w:rsidRDefault="00370613" w:rsidP="004B4A17">
    <w:pPr>
      <w:pStyle w:val="En-tte"/>
      <w:jc w:val="center"/>
      <w:rPr>
        <w:sz w:val="20"/>
        <w:szCs w:val="20"/>
        <w:lang w:val="en-CA"/>
      </w:rPr>
    </w:pPr>
    <w:r>
      <w:rPr>
        <w:b/>
      </w:rPr>
      <w:t xml:space="preserve">          </w:t>
    </w:r>
  </w:p>
  <w:p w:rsidR="004E4405" w:rsidRPr="00CA0D1F" w:rsidRDefault="004E4405">
    <w:pPr>
      <w:pStyle w:val="En-tte"/>
      <w:rPr>
        <w:sz w:val="20"/>
        <w:szCs w:val="2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7186"/>
    <w:multiLevelType w:val="hybridMultilevel"/>
    <w:tmpl w:val="DBC6F938"/>
    <w:lvl w:ilvl="0" w:tplc="8272F6B8">
      <w:start w:val="1"/>
      <w:numFmt w:val="decimal"/>
      <w:lvlText w:val="%1."/>
      <w:lvlJc w:val="left"/>
      <w:pPr>
        <w:tabs>
          <w:tab w:val="num" w:pos="720"/>
        </w:tabs>
        <w:ind w:left="720" w:hanging="360"/>
      </w:pPr>
    </w:lvl>
    <w:lvl w:ilvl="1" w:tplc="B9E2C6A6" w:tentative="1">
      <w:start w:val="1"/>
      <w:numFmt w:val="decimal"/>
      <w:lvlText w:val="%2."/>
      <w:lvlJc w:val="left"/>
      <w:pPr>
        <w:tabs>
          <w:tab w:val="num" w:pos="1440"/>
        </w:tabs>
        <w:ind w:left="1440" w:hanging="360"/>
      </w:pPr>
    </w:lvl>
    <w:lvl w:ilvl="2" w:tplc="4924474A" w:tentative="1">
      <w:start w:val="1"/>
      <w:numFmt w:val="decimal"/>
      <w:lvlText w:val="%3."/>
      <w:lvlJc w:val="left"/>
      <w:pPr>
        <w:tabs>
          <w:tab w:val="num" w:pos="2160"/>
        </w:tabs>
        <w:ind w:left="2160" w:hanging="360"/>
      </w:pPr>
    </w:lvl>
    <w:lvl w:ilvl="3" w:tplc="557497BC" w:tentative="1">
      <w:start w:val="1"/>
      <w:numFmt w:val="decimal"/>
      <w:lvlText w:val="%4."/>
      <w:lvlJc w:val="left"/>
      <w:pPr>
        <w:tabs>
          <w:tab w:val="num" w:pos="2880"/>
        </w:tabs>
        <w:ind w:left="2880" w:hanging="360"/>
      </w:pPr>
    </w:lvl>
    <w:lvl w:ilvl="4" w:tplc="840893CA" w:tentative="1">
      <w:start w:val="1"/>
      <w:numFmt w:val="decimal"/>
      <w:lvlText w:val="%5."/>
      <w:lvlJc w:val="left"/>
      <w:pPr>
        <w:tabs>
          <w:tab w:val="num" w:pos="3600"/>
        </w:tabs>
        <w:ind w:left="3600" w:hanging="360"/>
      </w:pPr>
    </w:lvl>
    <w:lvl w:ilvl="5" w:tplc="57FE445C" w:tentative="1">
      <w:start w:val="1"/>
      <w:numFmt w:val="decimal"/>
      <w:lvlText w:val="%6."/>
      <w:lvlJc w:val="left"/>
      <w:pPr>
        <w:tabs>
          <w:tab w:val="num" w:pos="4320"/>
        </w:tabs>
        <w:ind w:left="4320" w:hanging="360"/>
      </w:pPr>
    </w:lvl>
    <w:lvl w:ilvl="6" w:tplc="CBBA4480" w:tentative="1">
      <w:start w:val="1"/>
      <w:numFmt w:val="decimal"/>
      <w:lvlText w:val="%7."/>
      <w:lvlJc w:val="left"/>
      <w:pPr>
        <w:tabs>
          <w:tab w:val="num" w:pos="5040"/>
        </w:tabs>
        <w:ind w:left="5040" w:hanging="360"/>
      </w:pPr>
    </w:lvl>
    <w:lvl w:ilvl="7" w:tplc="32960B06" w:tentative="1">
      <w:start w:val="1"/>
      <w:numFmt w:val="decimal"/>
      <w:lvlText w:val="%8."/>
      <w:lvlJc w:val="left"/>
      <w:pPr>
        <w:tabs>
          <w:tab w:val="num" w:pos="5760"/>
        </w:tabs>
        <w:ind w:left="5760" w:hanging="360"/>
      </w:pPr>
    </w:lvl>
    <w:lvl w:ilvl="8" w:tplc="67128A54" w:tentative="1">
      <w:start w:val="1"/>
      <w:numFmt w:val="decimal"/>
      <w:lvlText w:val="%9."/>
      <w:lvlJc w:val="left"/>
      <w:pPr>
        <w:tabs>
          <w:tab w:val="num" w:pos="6480"/>
        </w:tabs>
        <w:ind w:left="6480" w:hanging="360"/>
      </w:pPr>
    </w:lvl>
  </w:abstractNum>
  <w:abstractNum w:abstractNumId="1" w15:restartNumberingAfterBreak="0">
    <w:nsid w:val="0E6200EF"/>
    <w:multiLevelType w:val="hybridMultilevel"/>
    <w:tmpl w:val="7F66113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4F32CF8"/>
    <w:multiLevelType w:val="hybridMultilevel"/>
    <w:tmpl w:val="C8CCCDF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2A670CF"/>
    <w:multiLevelType w:val="hybridMultilevel"/>
    <w:tmpl w:val="20B650FE"/>
    <w:lvl w:ilvl="0" w:tplc="0C0C000B">
      <w:start w:val="1"/>
      <w:numFmt w:val="bullet"/>
      <w:lvlText w:val=""/>
      <w:lvlJc w:val="left"/>
      <w:pPr>
        <w:ind w:left="2160" w:hanging="360"/>
      </w:pPr>
      <w:rPr>
        <w:rFonts w:ascii="Wingdings" w:hAnsi="Wingdings"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4" w15:restartNumberingAfterBreak="0">
    <w:nsid w:val="58AB6FEA"/>
    <w:multiLevelType w:val="hybridMultilevel"/>
    <w:tmpl w:val="6F800AD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AB950DE"/>
    <w:multiLevelType w:val="hybridMultilevel"/>
    <w:tmpl w:val="43322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51"/>
    <w:rsid w:val="00061644"/>
    <w:rsid w:val="0006368C"/>
    <w:rsid w:val="000A0F7C"/>
    <w:rsid w:val="001271B4"/>
    <w:rsid w:val="001424D8"/>
    <w:rsid w:val="001550E7"/>
    <w:rsid w:val="00185284"/>
    <w:rsid w:val="001D56EF"/>
    <w:rsid w:val="001D65BF"/>
    <w:rsid w:val="001F4EAA"/>
    <w:rsid w:val="00246252"/>
    <w:rsid w:val="0026355D"/>
    <w:rsid w:val="002975DA"/>
    <w:rsid w:val="00301124"/>
    <w:rsid w:val="00367F04"/>
    <w:rsid w:val="00370613"/>
    <w:rsid w:val="003C2D86"/>
    <w:rsid w:val="003E0840"/>
    <w:rsid w:val="00407433"/>
    <w:rsid w:val="00414DDF"/>
    <w:rsid w:val="00454D22"/>
    <w:rsid w:val="00455595"/>
    <w:rsid w:val="00495953"/>
    <w:rsid w:val="00496338"/>
    <w:rsid w:val="004B0236"/>
    <w:rsid w:val="004B4A17"/>
    <w:rsid w:val="004E4405"/>
    <w:rsid w:val="00527007"/>
    <w:rsid w:val="00527528"/>
    <w:rsid w:val="0055252F"/>
    <w:rsid w:val="00595108"/>
    <w:rsid w:val="005B03C8"/>
    <w:rsid w:val="006A4C48"/>
    <w:rsid w:val="006E3BC6"/>
    <w:rsid w:val="007367F9"/>
    <w:rsid w:val="00754EA2"/>
    <w:rsid w:val="00786B53"/>
    <w:rsid w:val="00794751"/>
    <w:rsid w:val="007C6237"/>
    <w:rsid w:val="007E2F38"/>
    <w:rsid w:val="0082109C"/>
    <w:rsid w:val="008228AC"/>
    <w:rsid w:val="0087676F"/>
    <w:rsid w:val="008F6941"/>
    <w:rsid w:val="009921DD"/>
    <w:rsid w:val="009A3E85"/>
    <w:rsid w:val="009B6061"/>
    <w:rsid w:val="009C7992"/>
    <w:rsid w:val="00A07076"/>
    <w:rsid w:val="00A21FB4"/>
    <w:rsid w:val="00A43C53"/>
    <w:rsid w:val="00A57EF6"/>
    <w:rsid w:val="00A85A1B"/>
    <w:rsid w:val="00AA0891"/>
    <w:rsid w:val="00BB1724"/>
    <w:rsid w:val="00BB2564"/>
    <w:rsid w:val="00BD08D8"/>
    <w:rsid w:val="00C04537"/>
    <w:rsid w:val="00C35605"/>
    <w:rsid w:val="00C43ADC"/>
    <w:rsid w:val="00C569E3"/>
    <w:rsid w:val="00C57E88"/>
    <w:rsid w:val="00C71774"/>
    <w:rsid w:val="00CA0D1F"/>
    <w:rsid w:val="00CD2E29"/>
    <w:rsid w:val="00CE0AF7"/>
    <w:rsid w:val="00CF3B68"/>
    <w:rsid w:val="00D03C4F"/>
    <w:rsid w:val="00D15136"/>
    <w:rsid w:val="00D266BE"/>
    <w:rsid w:val="00D92B1F"/>
    <w:rsid w:val="00DA4C24"/>
    <w:rsid w:val="00DB1754"/>
    <w:rsid w:val="00DC34E5"/>
    <w:rsid w:val="00DD414D"/>
    <w:rsid w:val="00DF0DBF"/>
    <w:rsid w:val="00DF361A"/>
    <w:rsid w:val="00E07BBD"/>
    <w:rsid w:val="00E11A30"/>
    <w:rsid w:val="00E76D7E"/>
    <w:rsid w:val="00EB7F57"/>
    <w:rsid w:val="00F07319"/>
    <w:rsid w:val="00F17E85"/>
    <w:rsid w:val="00F533C6"/>
    <w:rsid w:val="00F67105"/>
    <w:rsid w:val="00F74DA5"/>
    <w:rsid w:val="00F94A68"/>
    <w:rsid w:val="00FA2045"/>
    <w:rsid w:val="00FA46A9"/>
    <w:rsid w:val="00FB4CAE"/>
    <w:rsid w:val="00FD0E21"/>
    <w:rsid w:val="00FD31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E9BF9CB-7D0B-4FA2-8EBA-99CEA538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CA0D1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4405"/>
    <w:pPr>
      <w:tabs>
        <w:tab w:val="center" w:pos="4320"/>
        <w:tab w:val="right" w:pos="8640"/>
      </w:tabs>
      <w:spacing w:after="0" w:line="240" w:lineRule="auto"/>
    </w:pPr>
  </w:style>
  <w:style w:type="character" w:customStyle="1" w:styleId="En-tteCar">
    <w:name w:val="En-tête Car"/>
    <w:basedOn w:val="Policepardfaut"/>
    <w:link w:val="En-tte"/>
    <w:uiPriority w:val="99"/>
    <w:rsid w:val="004E4405"/>
  </w:style>
  <w:style w:type="paragraph" w:styleId="Pieddepage">
    <w:name w:val="footer"/>
    <w:basedOn w:val="Normal"/>
    <w:link w:val="PieddepageCar"/>
    <w:uiPriority w:val="99"/>
    <w:unhideWhenUsed/>
    <w:rsid w:val="004E440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E4405"/>
  </w:style>
  <w:style w:type="paragraph" w:styleId="Textedebulles">
    <w:name w:val="Balloon Text"/>
    <w:basedOn w:val="Normal"/>
    <w:link w:val="TextedebullesCar"/>
    <w:uiPriority w:val="99"/>
    <w:semiHidden/>
    <w:unhideWhenUsed/>
    <w:rsid w:val="00BD08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08D8"/>
    <w:rPr>
      <w:rFonts w:ascii="Tahoma" w:hAnsi="Tahoma" w:cs="Tahoma"/>
      <w:sz w:val="16"/>
      <w:szCs w:val="16"/>
    </w:rPr>
  </w:style>
  <w:style w:type="character" w:customStyle="1" w:styleId="Titre1Car">
    <w:name w:val="Titre 1 Car"/>
    <w:basedOn w:val="Policepardfaut"/>
    <w:link w:val="Titre1"/>
    <w:uiPriority w:val="9"/>
    <w:rsid w:val="00CA0D1F"/>
    <w:rPr>
      <w:rFonts w:asciiTheme="majorHAnsi" w:eastAsiaTheme="majorEastAsia" w:hAnsiTheme="majorHAnsi" w:cstheme="majorBidi"/>
      <w:b/>
      <w:bCs/>
      <w:color w:val="365F91" w:themeColor="accent1" w:themeShade="BF"/>
      <w:sz w:val="28"/>
      <w:szCs w:val="28"/>
      <w:lang w:eastAsia="fr-CA"/>
    </w:rPr>
  </w:style>
  <w:style w:type="character" w:styleId="Lienhypertexte">
    <w:name w:val="Hyperlink"/>
    <w:uiPriority w:val="99"/>
    <w:unhideWhenUsed/>
    <w:rsid w:val="00370613"/>
    <w:rPr>
      <w:rFonts w:ascii="Times New Roman" w:hAnsi="Times New Roman" w:cs="Times New Roman" w:hint="default"/>
      <w:color w:val="0000FF"/>
      <w:u w:val="single"/>
    </w:rPr>
  </w:style>
  <w:style w:type="paragraph" w:styleId="Paragraphedeliste">
    <w:name w:val="List Paragraph"/>
    <w:basedOn w:val="Normal"/>
    <w:uiPriority w:val="34"/>
    <w:qFormat/>
    <w:rsid w:val="00407433"/>
    <w:pPr>
      <w:ind w:left="720"/>
      <w:contextualSpacing/>
    </w:pPr>
  </w:style>
  <w:style w:type="character" w:styleId="Rfrenceintense">
    <w:name w:val="Intense Reference"/>
    <w:uiPriority w:val="32"/>
    <w:qFormat/>
    <w:rsid w:val="00C35605"/>
    <w:rPr>
      <w:b/>
      <w:bCs/>
      <w:smallCaps/>
      <w:color w:val="C0504D"/>
      <w:spacing w:val="5"/>
      <w:u w:val="single"/>
    </w:rPr>
  </w:style>
  <w:style w:type="paragraph" w:styleId="Notedebasdepage">
    <w:name w:val="footnote text"/>
    <w:basedOn w:val="Normal"/>
    <w:link w:val="NotedebasdepageCar"/>
    <w:uiPriority w:val="99"/>
    <w:semiHidden/>
    <w:unhideWhenUsed/>
    <w:rsid w:val="0006368C"/>
    <w:pPr>
      <w:spacing w:after="0" w:line="240" w:lineRule="auto"/>
    </w:pPr>
    <w:rPr>
      <w:rFonts w:asciiTheme="minorHAnsi" w:hAnsiTheme="minorHAnsi"/>
      <w:sz w:val="20"/>
      <w:szCs w:val="20"/>
      <w:lang w:val="en-CA"/>
    </w:rPr>
  </w:style>
  <w:style w:type="character" w:customStyle="1" w:styleId="NotedebasdepageCar">
    <w:name w:val="Note de bas de page Car"/>
    <w:basedOn w:val="Policepardfaut"/>
    <w:link w:val="Notedebasdepage"/>
    <w:uiPriority w:val="99"/>
    <w:semiHidden/>
    <w:rsid w:val="0006368C"/>
    <w:rPr>
      <w:rFonts w:asciiTheme="minorHAnsi" w:hAnsiTheme="minorHAnsi"/>
      <w:sz w:val="20"/>
      <w:szCs w:val="20"/>
      <w:lang w:val="en-CA"/>
    </w:rPr>
  </w:style>
  <w:style w:type="character" w:styleId="Appelnotedebasdep">
    <w:name w:val="footnote reference"/>
    <w:basedOn w:val="Policepardfaut"/>
    <w:uiPriority w:val="99"/>
    <w:semiHidden/>
    <w:unhideWhenUsed/>
    <w:rsid w:val="000636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5225">
      <w:bodyDiv w:val="1"/>
      <w:marLeft w:val="0"/>
      <w:marRight w:val="0"/>
      <w:marTop w:val="0"/>
      <w:marBottom w:val="0"/>
      <w:divBdr>
        <w:top w:val="none" w:sz="0" w:space="0" w:color="auto"/>
        <w:left w:val="none" w:sz="0" w:space="0" w:color="auto"/>
        <w:bottom w:val="none" w:sz="0" w:space="0" w:color="auto"/>
        <w:right w:val="none" w:sz="0" w:space="0" w:color="auto"/>
      </w:divBdr>
    </w:div>
    <w:div w:id="1144741662">
      <w:bodyDiv w:val="1"/>
      <w:marLeft w:val="0"/>
      <w:marRight w:val="0"/>
      <w:marTop w:val="0"/>
      <w:marBottom w:val="0"/>
      <w:divBdr>
        <w:top w:val="none" w:sz="0" w:space="0" w:color="auto"/>
        <w:left w:val="none" w:sz="0" w:space="0" w:color="auto"/>
        <w:bottom w:val="none" w:sz="0" w:space="0" w:color="auto"/>
        <w:right w:val="none" w:sz="0" w:space="0" w:color="auto"/>
      </w:divBdr>
    </w:div>
    <w:div w:id="1243756342">
      <w:bodyDiv w:val="1"/>
      <w:marLeft w:val="0"/>
      <w:marRight w:val="0"/>
      <w:marTop w:val="0"/>
      <w:marBottom w:val="0"/>
      <w:divBdr>
        <w:top w:val="none" w:sz="0" w:space="0" w:color="auto"/>
        <w:left w:val="none" w:sz="0" w:space="0" w:color="auto"/>
        <w:bottom w:val="none" w:sz="0" w:space="0" w:color="auto"/>
        <w:right w:val="none" w:sz="0" w:space="0" w:color="auto"/>
      </w:divBdr>
    </w:div>
    <w:div w:id="1605769382">
      <w:bodyDiv w:val="1"/>
      <w:marLeft w:val="0"/>
      <w:marRight w:val="0"/>
      <w:marTop w:val="0"/>
      <w:marBottom w:val="0"/>
      <w:divBdr>
        <w:top w:val="none" w:sz="0" w:space="0" w:color="auto"/>
        <w:left w:val="none" w:sz="0" w:space="0" w:color="auto"/>
        <w:bottom w:val="none" w:sz="0" w:space="0" w:color="auto"/>
        <w:right w:val="none" w:sz="0" w:space="0" w:color="auto"/>
      </w:divBdr>
    </w:div>
    <w:div w:id="1872254941">
      <w:bodyDiv w:val="1"/>
      <w:marLeft w:val="0"/>
      <w:marRight w:val="0"/>
      <w:marTop w:val="0"/>
      <w:marBottom w:val="0"/>
      <w:divBdr>
        <w:top w:val="none" w:sz="0" w:space="0" w:color="auto"/>
        <w:left w:val="none" w:sz="0" w:space="0" w:color="auto"/>
        <w:bottom w:val="none" w:sz="0" w:space="0" w:color="auto"/>
        <w:right w:val="none" w:sz="0" w:space="0" w:color="auto"/>
      </w:divBdr>
      <w:divsChild>
        <w:div w:id="719860371">
          <w:marLeft w:val="893"/>
          <w:marRight w:val="0"/>
          <w:marTop w:val="134"/>
          <w:marBottom w:val="0"/>
          <w:divBdr>
            <w:top w:val="none" w:sz="0" w:space="0" w:color="auto"/>
            <w:left w:val="none" w:sz="0" w:space="0" w:color="auto"/>
            <w:bottom w:val="none" w:sz="0" w:space="0" w:color="auto"/>
            <w:right w:val="none" w:sz="0" w:space="0" w:color="auto"/>
          </w:divBdr>
        </w:div>
        <w:div w:id="187988235">
          <w:marLeft w:val="893"/>
          <w:marRight w:val="0"/>
          <w:marTop w:val="134"/>
          <w:marBottom w:val="0"/>
          <w:divBdr>
            <w:top w:val="none" w:sz="0" w:space="0" w:color="auto"/>
            <w:left w:val="none" w:sz="0" w:space="0" w:color="auto"/>
            <w:bottom w:val="none" w:sz="0" w:space="0" w:color="auto"/>
            <w:right w:val="none" w:sz="0" w:space="0" w:color="auto"/>
          </w:divBdr>
        </w:div>
        <w:div w:id="922909757">
          <w:marLeft w:val="893"/>
          <w:marRight w:val="0"/>
          <w:marTop w:val="134"/>
          <w:marBottom w:val="0"/>
          <w:divBdr>
            <w:top w:val="none" w:sz="0" w:space="0" w:color="auto"/>
            <w:left w:val="none" w:sz="0" w:space="0" w:color="auto"/>
            <w:bottom w:val="none" w:sz="0" w:space="0" w:color="auto"/>
            <w:right w:val="none" w:sz="0" w:space="0" w:color="auto"/>
          </w:divBdr>
        </w:div>
        <w:div w:id="56755478">
          <w:marLeft w:val="893"/>
          <w:marRight w:val="0"/>
          <w:marTop w:val="134"/>
          <w:marBottom w:val="0"/>
          <w:divBdr>
            <w:top w:val="none" w:sz="0" w:space="0" w:color="auto"/>
            <w:left w:val="none" w:sz="0" w:space="0" w:color="auto"/>
            <w:bottom w:val="none" w:sz="0" w:space="0" w:color="auto"/>
            <w:right w:val="none" w:sz="0" w:space="0" w:color="auto"/>
          </w:divBdr>
        </w:div>
        <w:div w:id="1784381405">
          <w:marLeft w:val="893"/>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coalition.ca/ttol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1085</Words>
  <Characters>5972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Régimbal</dc:creator>
  <cp:lastModifiedBy>Roger Regimbal</cp:lastModifiedBy>
  <cp:revision>4</cp:revision>
  <cp:lastPrinted>2013-02-11T18:00:00Z</cp:lastPrinted>
  <dcterms:created xsi:type="dcterms:W3CDTF">2019-05-17T12:22:00Z</dcterms:created>
  <dcterms:modified xsi:type="dcterms:W3CDTF">2019-05-20T11:45:00Z</dcterms:modified>
</cp:coreProperties>
</file>