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B4707E" w:rsidRDefault="00B4707E" w:rsidP="00DF23A3">
      <w:pPr>
        <w:spacing w:after="0"/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CA"/>
        </w:rPr>
        <w:t>DOCUMENTS CORPORATIFS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Règlements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>
        <w:rPr>
          <w:rFonts w:cs="Arial"/>
          <w:sz w:val="22"/>
        </w:rPr>
        <w:t>Politiques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4E11A0">
        <w:rPr>
          <w:rFonts w:cs="Arial"/>
          <w:sz w:val="22"/>
        </w:rPr>
        <w:t>Protocol</w:t>
      </w:r>
      <w:r w:rsidR="00B4707E">
        <w:rPr>
          <w:rFonts w:cs="Arial"/>
          <w:sz w:val="22"/>
        </w:rPr>
        <w:t>e</w:t>
      </w:r>
      <w:r w:rsidRPr="004E11A0">
        <w:rPr>
          <w:rFonts w:cs="Arial"/>
          <w:sz w:val="22"/>
        </w:rPr>
        <w:t>s</w:t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B4707E" w:rsidP="00DF23A3">
      <w:pPr>
        <w:pStyle w:val="Titre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B4707E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Règlement</w:t>
            </w:r>
          </w:p>
        </w:tc>
        <w:tc>
          <w:tcPr>
            <w:tcW w:w="6390" w:type="dxa"/>
          </w:tcPr>
          <w:p w:rsidR="00DF23A3" w:rsidRPr="00E1546E" w:rsidRDefault="00B4707E" w:rsidP="00DF23A3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Table des matières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Définitions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Nom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Siège social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Sceau de l’A</w:t>
            </w:r>
            <w:r w:rsidRPr="00B4707E">
              <w:rPr>
                <w:sz w:val="22"/>
              </w:rPr>
              <w:t>ssociation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Adhésion, conditions, droits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Gouvernance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 xml:space="preserve">Assemblées des </w:t>
            </w:r>
            <w:r>
              <w:rPr>
                <w:sz w:val="22"/>
              </w:rPr>
              <w:t>M</w:t>
            </w:r>
            <w:r w:rsidRPr="00B4707E">
              <w:rPr>
                <w:sz w:val="22"/>
              </w:rPr>
              <w:t>embres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Conseil d’administration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Comité exécutif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Tâches des membres de la haute direction</w:t>
            </w:r>
          </w:p>
        </w:tc>
        <w:tc>
          <w:tcPr>
            <w:tcW w:w="1818" w:type="dxa"/>
          </w:tcPr>
          <w:p w:rsidR="00B4707E" w:rsidRPr="00E1546E" w:rsidRDefault="00B4707E" w:rsidP="00B4707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707E">
              <w:rPr>
                <w:rFonts w:cs="Arial"/>
                <w:sz w:val="22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Vice-présidence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741696" w:rsidP="00741696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>
              <w:rPr>
                <w:rFonts w:cs="Arial"/>
                <w:b/>
                <w:sz w:val="22"/>
                <w:lang w:eastAsia="fr-FR"/>
              </w:rPr>
              <w:t>TITRE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Définitions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bCs/>
                <w:sz w:val="22"/>
              </w:rPr>
              <w:t>Langues officielles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Objectifs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Ordre du jour et autorisation parlementaire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Rôles et responsabilités des 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Assemblée générale annuelle et réunions du conseil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exécutif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Mandat des comités permanents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communications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services de santé et des assurances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la législation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candidatures et des élections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pensions et du revenu de retraite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mobilisation politique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 xml:space="preserve">Élections 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Lignes directives en matière d’élection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de mise en candidature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électorale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bookmarkStart w:id="0" w:name="_GoBack"/>
            <w:bookmarkEnd w:id="0"/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Frais de déplacements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Tâches des administrateurs et le directeur général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vice-président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 sortant immédiat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représentant régional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Modifications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</w:t>
      </w:r>
      <w:r w:rsidR="00EB4FC7">
        <w:rPr>
          <w:b/>
          <w:szCs w:val="24"/>
          <w:lang w:val="en-CA"/>
        </w:rPr>
        <w:t>TIQUES</w:t>
      </w: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  <w:r w:rsidRPr="00C776CB">
        <w:rPr>
          <w:rFonts w:ascii="Arial" w:hAnsi="Arial" w:cs="Arial"/>
          <w:b/>
          <w:lang w:val="fr-FR"/>
        </w:rPr>
        <w:t>A.</w:t>
      </w:r>
      <w:r w:rsidRPr="00C776CB">
        <w:rPr>
          <w:rFonts w:ascii="Arial" w:hAnsi="Arial" w:cs="Arial"/>
          <w:b/>
          <w:lang w:val="fr-FR"/>
        </w:rPr>
        <w:tab/>
      </w:r>
      <w:r w:rsidRPr="00EB4FC7">
        <w:rPr>
          <w:rFonts w:ascii="Arial" w:hAnsi="Arial" w:cs="Arial"/>
          <w:b/>
          <w:sz w:val="22"/>
          <w:szCs w:val="22"/>
          <w:lang w:val="fr-FR"/>
        </w:rPr>
        <w:t>PENSIONS ET REVENU DE RETRAITE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A-01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Pensions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A-02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aux comités et conseils provinciaux de rente de retraite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A-03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Réduction du crédit d’impôt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B.</w:t>
      </w:r>
      <w:r w:rsidRPr="00EB4FC7">
        <w:rPr>
          <w:rFonts w:ascii="Arial" w:hAnsi="Arial" w:cs="Arial"/>
          <w:b/>
          <w:sz w:val="22"/>
          <w:szCs w:val="22"/>
        </w:rPr>
        <w:tab/>
        <w:t>SANTÉ ET ASSURANCE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du Canada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B-02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de longue durée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Régime national de médicaments et d’un formulaire pharmaceutique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C.</w:t>
      </w:r>
      <w:r w:rsidRPr="00EB4FC7">
        <w:rPr>
          <w:rFonts w:ascii="Arial" w:hAnsi="Arial" w:cs="Arial"/>
          <w:b/>
          <w:sz w:val="22"/>
          <w:szCs w:val="22"/>
        </w:rPr>
        <w:tab/>
        <w:t>Gouvernance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Responsabilités des représentantes et représentants régionaux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sur le comité d’administration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C-03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Appui et aide aux associations en exercice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C-04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Appui aux organisations humanitaires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C-05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Fonds de réserve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C-06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Investissement du fonds de réserve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C-07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Frais de déplacement et de repas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C-08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Protection de la marque déposée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C-09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Dissolution de l’ACER-CART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C-10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Évaluation de la performance du Directeur général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La cotisation non payée par une association membre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</w:rPr>
            </w:pPr>
            <w:r w:rsidRPr="00EB4FC7">
              <w:rPr>
                <w:rFonts w:cs="Arial"/>
                <w:bCs/>
                <w:sz w:val="22"/>
              </w:rPr>
              <w:t xml:space="preserve">Mobilisation politique 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</w:t>
      </w:r>
      <w:r w:rsidR="005E0E5E">
        <w:rPr>
          <w:rFonts w:ascii="Arial" w:hAnsi="Arial" w:cs="Arial"/>
          <w:sz w:val="22"/>
          <w:szCs w:val="22"/>
        </w:rPr>
        <w:t>E</w:t>
      </w:r>
      <w:r w:rsidRPr="004E11A0">
        <w:rPr>
          <w:rFonts w:ascii="Arial" w:hAnsi="Arial" w:cs="Arial"/>
          <w:sz w:val="22"/>
          <w:szCs w:val="22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6390"/>
        <w:gridCol w:w="1818"/>
      </w:tblGrid>
      <w:tr w:rsidR="005E0E5E" w:rsidRPr="004E11A0" w:rsidTr="006E4F5B">
        <w:trPr>
          <w:trHeight w:val="324"/>
        </w:trPr>
        <w:tc>
          <w:tcPr>
            <w:tcW w:w="1463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PROTOCOLE</w:t>
            </w:r>
          </w:p>
        </w:tc>
        <w:tc>
          <w:tcPr>
            <w:tcW w:w="6390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Voyages des représentants régionaux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d’élection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bCs/>
                <w:szCs w:val="24"/>
              </w:rPr>
              <w:t>Autres comités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d’établissement de politiques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widowControl w:val="0"/>
              <w:spacing w:after="0" w:line="240" w:lineRule="auto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Résolutions soumises à l’</w:t>
            </w:r>
            <w:r>
              <w:rPr>
                <w:rFonts w:cs="Arial"/>
                <w:szCs w:val="24"/>
              </w:rPr>
              <w:t>AGA</w:t>
            </w:r>
            <w:r w:rsidRPr="00995A81">
              <w:rPr>
                <w:rFonts w:cs="Arial"/>
                <w:szCs w:val="24"/>
              </w:rPr>
              <w:t xml:space="preserve"> - procédures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6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5E0E5E" w:rsidRDefault="005E0E5E" w:rsidP="005E0E5E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Procédure pour la signature des chèques</w:t>
            </w:r>
          </w:p>
          <w:p w:rsidR="00CB4EE4" w:rsidRPr="00995A81" w:rsidRDefault="00CB4EE4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Vérification des états financiers</w:t>
            </w:r>
          </w:p>
        </w:tc>
        <w:tc>
          <w:tcPr>
            <w:tcW w:w="1818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5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sectPr w:rsidR="00E1546E" w:rsidRPr="004E11A0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CB4EE4" w:rsidRPr="00CB4EE4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CB4EE4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</w:t>
    </w:r>
    <w:r w:rsidR="00EB4FC7">
      <w:rPr>
        <w:sz w:val="20"/>
        <w:szCs w:val="20"/>
      </w:rPr>
      <w:t>fr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903E1"/>
    <w:rsid w:val="000A2747"/>
    <w:rsid w:val="000A4113"/>
    <w:rsid w:val="000F3117"/>
    <w:rsid w:val="000F784D"/>
    <w:rsid w:val="00105051"/>
    <w:rsid w:val="00111A6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5E0E5E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1696"/>
    <w:rsid w:val="00746114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4707E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B4EE4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EB4FC7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C6496C"/>
  <w15:docId w15:val="{525DE8E2-68B3-4E5D-8EF5-A1D91D7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2016-05-09T13:29:00Z</cp:lastPrinted>
  <dcterms:created xsi:type="dcterms:W3CDTF">2017-04-21T20:20:00Z</dcterms:created>
  <dcterms:modified xsi:type="dcterms:W3CDTF">2017-04-21T20:20:00Z</dcterms:modified>
</cp:coreProperties>
</file>